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1400"/>
        <w:jc w:val="center"/>
      </w:pPr>
      <w:r>
        <w:rPr>
          <w:b/>
          <w:bCs/>
          <w:color w:val="1F3864"/>
          <w:sz w:val="44"/>
          <w:szCs w:val="44"/>
        </w:rPr>
        <w:t xml:space="preserve">GUÍA DE PROPIEDAD INTELECTUAL</w:t>
      </w:r>
    </w:p>
    <w:p>
      <w:pPr>
        <w:spacing w:after="80" w:before="120"/>
        <w:jc w:val="center"/>
      </w:pPr>
      <w:r>
        <w:rPr>
          <w:b/>
          <w:bCs/>
          <w:color w:val="2E75B6"/>
          <w:sz w:val="30"/>
          <w:szCs w:val="30"/>
        </w:rPr>
        <w:t xml:space="preserve">Marcas, Derechos de Autor y Protección de Activos Intangibles</w:t>
      </w:r>
    </w:p>
    <w:p>
      <w:pPr>
        <w:spacing w:after="1000" w:before="240"/>
        <w:jc w:val="center"/>
      </w:pPr>
      <w:r>
        <w:rPr>
          <w:i/>
          <w:iCs/>
          <w:color w:val="595959"/>
          <w:sz w:val="22"/>
          <w:szCs w:val="22"/>
        </w:rPr>
        <w:t xml:space="preserve">Cómo proteger el nombre, el logo y las creaciones de tu negocio en México</w:t>
      </w:r>
    </w:p>
    <w:p>
      <w:pPr>
        <w:pBdr>
          <w:top w:val="single" w:color="9C2B2B" w:sz="6" w:space="8"/>
          <w:left w:val="single" w:color="9C2B2B" w:sz="6" w:space="8"/>
          <w:bottom w:val="single" w:color="9C2B2B" w:sz="6" w:space="8"/>
          <w:right w:val="single" w:color="9C2B2B" w:sz="6" w:space="8"/>
        </w:pBdr>
        <w:shd w:fill="FBEAEA" w:val="clear"/>
        <w:spacing w:after="200" w:before="120"/>
      </w:pPr>
      <w:r>
        <w:rPr>
          <w:b/>
          <w:bCs/>
          <w:color w:val="9C2B2B"/>
        </w:rPr>
        <w:t xml:space="preserve">Importante: </w:t>
      </w:r>
      <w:r>
        <w:t xml:space="preserve">Este documento es exclusivamente educativo e informativo. No constituye asesoría legal personalizada. Las tarifas y criterios del IMPI y del INDAUTOR cambian periódicamente; confirma siempre la información vigente antes de iniciar un trámite.</w:t>
      </w:r>
    </w:p>
    <w:p>
      <w:r>
        <w:br w:type="page"/>
      </w:r>
    </w:p>
    <w:p>
      <w:pPr>
        <w:pStyle w:val="Heading1"/>
      </w:pPr>
      <w:r>
        <w:t xml:space="preserve">Tabla de Contenido</w:t>
      </w:r>
    </w:p>
    <w:sdt>
      <w:sdtPr>
        <w:alias w:val="Tabla de Contenido"/>
      </w:sdtPr>
      <w:sdtContent>
        <w:p>
          <w:r>
            <w:fldChar w:fldCharType="begin" w:dirty="true"/>
            <w:instrText xml:space="preserve">TOC \h \o "1-3"</w:instrText>
            <w:fldChar w:fldCharType="separate"/>
          </w:r>
        </w:p>
        <w:p>
          <w:r>
            <w:fldChar w:fldCharType="end"/>
          </w:r>
        </w:p>
      </w:sdtContent>
    </w:sdt>
    <w:p>
      <w:r>
        <w:br w:type="page"/>
      </w:r>
    </w:p>
    <w:p>
      <w:pPr>
        <w:pStyle w:val="Heading1"/>
      </w:pPr>
      <w:r>
        <w:t xml:space="preserve">1. Introducción</w:t>
      </w:r>
    </w:p>
    <w:p>
      <w:pPr>
        <w:spacing w:after="160"/>
      </w:pPr>
      <w:r>
        <w:t xml:space="preserve">Una marca, un logo o un desarrollo de software no están protegidos legalmente solo porque los usas o los publicaste primero. En México, la protección real nace del registro ante la autoridad correspondiente. Sin ese registro, cualquier tercero puede registrar tu nombre antes que tú y, legalmente, quedarte sin derechos sobre lo que construiste.</w:t>
      </w:r>
    </w:p>
    <w:p>
      <w:pPr>
        <w:pBdr>
          <w:top w:val="single" w:color="2E75B6" w:sz="6" w:space="8"/>
          <w:left w:val="single" w:color="2E75B6" w:sz="6" w:space="8"/>
          <w:bottom w:val="single" w:color="2E75B6" w:sz="6" w:space="8"/>
          <w:right w:val="single" w:color="2E75B6" w:sz="6" w:space="8"/>
        </w:pBdr>
        <w:shd w:fill="F2F7FC" w:val="clear"/>
        <w:spacing w:after="200" w:before="120"/>
      </w:pPr>
      <w:r>
        <w:rPr>
          <w:b/>
          <w:bCs/>
          <w:color w:val="1F3864"/>
        </w:rPr>
        <w:t xml:space="preserve">Importante: </w:t>
      </w:r>
      <w:r>
        <w:t xml:space="preserve">Esta guía es informativa y educativa. Las tarifas, plazos y criterios del IMPI y del INDAUTOR cambian periódicamente. Antes de iniciar un trámite, confirma las cifras vigentes en los portales oficiales o con un especialista en propiedad intelectual.</w:t>
      </w:r>
    </w:p>
    <w:p>
      <w:pPr>
        <w:pStyle w:val="Heading1"/>
      </w:pPr>
      <w:r>
        <w:t xml:space="preserve">2. Marca, Derecho de Autor y Patente: Diferencias Clave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2700"/>
        <w:gridCol w:w="2300"/>
        <w:gridCol w:w="2160"/>
      </w:tblGrid>
      <w:tr>
        <w:tc>
          <w:tcPr>
            <w:tcW w:type="dxa" w:w="220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Figura</w:t>
            </w:r>
          </w:p>
        </w:tc>
        <w:tc>
          <w:tcPr>
            <w:tcW w:type="dxa" w:w="270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Protege</w:t>
            </w:r>
          </w:p>
        </w:tc>
        <w:tc>
          <w:tcPr>
            <w:tcW w:type="dxa" w:w="230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Autoridad</w:t>
            </w:r>
          </w:p>
        </w:tc>
        <w:tc>
          <w:tcPr>
            <w:tcW w:type="dxa" w:w="2160"/>
            <w:tcBorders>
              <w:top w:val="single" w:color="CCCCCC" w:sz="1"/>
              <w:left w:val="single" w:color="CCCCCC" w:sz="1"/>
              <w:bottom w:val="single" w:color="CCCCCC" w:sz="1"/>
              <w:right w:val="single" w:color="CCCCCC" w:sz="1"/>
            </w:tcBorders>
            <w:shd w:fill="1F3864" w:val="clear"/>
            <w:tcMar>
              <w:top w:type="dxa" w:w="100"/>
              <w:left w:type="dxa" w:w="140"/>
              <w:bottom w:type="dxa" w:w="100"/>
              <w:right w:type="dxa" w:w="140"/>
            </w:tcMar>
            <w:vAlign w:val="center"/>
          </w:tcPr>
          <w:p>
            <w:r>
              <w:rPr>
                <w:b/>
                <w:bCs/>
                <w:color w:val="FFFFFF"/>
                <w:sz w:val="20"/>
                <w:szCs w:val="20"/>
              </w:rPr>
              <w:t xml:space="preserve">Vigencia</w:t>
            </w:r>
          </w:p>
        </w:tc>
      </w:tr>
      <w:tr>
        <w:tc>
          <w:tcPr>
            <w:tcW w:type="dxa" w:w="22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Marca</w:t>
            </w:r>
          </w:p>
        </w:tc>
        <w:tc>
          <w:tcPr>
            <w:tcW w:type="dxa" w:w="27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Nombre, logo, eslogan que distingue productos o servicios</w:t>
            </w:r>
          </w:p>
        </w:tc>
        <w:tc>
          <w:tcPr>
            <w:tcW w:type="dxa" w:w="23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IMPI</w:t>
            </w:r>
          </w:p>
        </w:tc>
        <w:tc>
          <w:tcPr>
            <w:tcW w:type="dxa" w:w="216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10 años, renovable indefinidamente</w:t>
            </w:r>
          </w:p>
        </w:tc>
      </w:tr>
      <w:tr>
        <w:tc>
          <w:tcPr>
            <w:tcW w:type="dxa" w:w="22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Patente</w:t>
            </w:r>
          </w:p>
        </w:tc>
        <w:tc>
          <w:tcPr>
            <w:tcW w:type="dxa" w:w="27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Invenciones nuevas, con aplicación industrial</w:t>
            </w:r>
          </w:p>
        </w:tc>
        <w:tc>
          <w:tcPr>
            <w:tcW w:type="dxa" w:w="23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IMPI</w:t>
            </w:r>
          </w:p>
        </w:tc>
        <w:tc>
          <w:tcPr>
            <w:tcW w:type="dxa" w:w="216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20 años, no renovable</w:t>
            </w:r>
          </w:p>
        </w:tc>
      </w:tr>
      <w:tr>
        <w:tc>
          <w:tcPr>
            <w:tcW w:type="dxa" w:w="22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Modelo de utilidad / diseño industrial</w:t>
            </w:r>
          </w:p>
        </w:tc>
        <w:tc>
          <w:tcPr>
            <w:tcW w:type="dxa" w:w="27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Mejoras funcionales o forma estética de un producto</w:t>
            </w:r>
          </w:p>
        </w:tc>
        <w:tc>
          <w:tcPr>
            <w:tcW w:type="dxa" w:w="230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IMPI</w:t>
            </w:r>
          </w:p>
        </w:tc>
        <w:tc>
          <w:tcPr>
            <w:tcW w:type="dxa" w:w="2160"/>
            <w:tcBorders>
              <w:top w:val="single" w:color="CCCCCC" w:sz="1"/>
              <w:left w:val="single" w:color="CCCCCC" w:sz="1"/>
              <w:bottom w:val="single" w:color="CCCCCC" w:sz="1"/>
              <w:right w:val="single" w:color="CCCCCC" w:sz="1"/>
            </w:tcBorders>
            <w:shd w:fill="F7F9FC" w:val="clear"/>
            <w:tcMar>
              <w:top w:type="dxa" w:w="100"/>
              <w:left w:type="dxa" w:w="140"/>
              <w:bottom w:type="dxa" w:w="100"/>
              <w:right w:type="dxa" w:w="140"/>
            </w:tcMar>
            <w:vAlign w:val="center"/>
          </w:tcPr>
          <w:p>
            <w:r>
              <w:rPr>
                <w:b w:val="false"/>
                <w:bCs w:val="false"/>
                <w:sz w:val="20"/>
                <w:szCs w:val="20"/>
              </w:rPr>
              <w:t xml:space="preserve">10–15 años según figura</w:t>
            </w:r>
          </w:p>
        </w:tc>
      </w:tr>
      <w:tr>
        <w:tc>
          <w:tcPr>
            <w:tcW w:type="dxa" w:w="22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Derecho de autor</w:t>
            </w:r>
          </w:p>
        </w:tc>
        <w:tc>
          <w:tcPr>
            <w:tcW w:type="dxa" w:w="27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Obras originales: software, textos, diseños, música, fotografías</w:t>
            </w:r>
          </w:p>
        </w:tc>
        <w:tc>
          <w:tcPr>
            <w:tcW w:type="dxa" w:w="230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INDAUTOR</w:t>
            </w:r>
          </w:p>
        </w:tc>
        <w:tc>
          <w:tcPr>
            <w:tcW w:type="dxa" w:w="2160"/>
            <w:tcBorders>
              <w:top w:val="single" w:color="CCCCCC" w:sz="1"/>
              <w:left w:val="single" w:color="CCCCCC" w:sz="1"/>
              <w:bottom w:val="single" w:color="CCCCCC" w:sz="1"/>
              <w:right w:val="single" w:color="CCCCCC" w:sz="1"/>
            </w:tcBorders>
            <w:tcMar>
              <w:top w:type="dxa" w:w="100"/>
              <w:left w:type="dxa" w:w="140"/>
              <w:bottom w:type="dxa" w:w="100"/>
              <w:right w:type="dxa" w:w="140"/>
            </w:tcMar>
            <w:vAlign w:val="center"/>
          </w:tcPr>
          <w:p>
            <w:r>
              <w:rPr>
                <w:b w:val="false"/>
                <w:bCs w:val="false"/>
                <w:sz w:val="20"/>
                <w:szCs w:val="20"/>
              </w:rPr>
              <w:t xml:space="preserve">Vida del autor + 100 años</w:t>
            </w:r>
          </w:p>
        </w:tc>
      </w:tr>
    </w:tbl>
    <w:p>
      <w:pPr>
        <w:spacing w:after="160"/>
      </w:pPr>
      <w:r>
        <w:t xml:space="preserve"/>
      </w:r>
    </w:p>
    <w:p>
      <w:pPr>
        <w:pBdr>
          <w:top w:val="single" w:color="2E6B47" w:sz="6" w:space="8"/>
          <w:left w:val="single" w:color="2E6B47" w:sz="6" w:space="8"/>
          <w:bottom w:val="single" w:color="2E6B47" w:sz="6" w:space="8"/>
          <w:right w:val="single" w:color="2E6B47" w:sz="6" w:space="8"/>
        </w:pBdr>
        <w:shd w:fill="EAF3ED" w:val="clear"/>
        <w:spacing w:after="200" w:before="120"/>
      </w:pPr>
      <w:r>
        <w:rPr>
          <w:b/>
          <w:bCs/>
          <w:color w:val="2E6B47"/>
        </w:rPr>
        <w:t xml:space="preserve">Dato clave sobre software: </w:t>
      </w:r>
      <w:r>
        <w:t xml:space="preserve">El código fuente de un programa de cómputo se protege como derecho de autor (no como patente) y nace automáticamente al crearlo — pero registrarlo ante el INDAUTOR te da una prueba oficial de fecha y autoría que es muy valiosa si algún día hay una disputa.</w:t>
      </w:r>
    </w:p>
    <w:p>
      <w:pPr>
        <w:pStyle w:val="Heading1"/>
      </w:pPr>
      <w:r>
        <w:t xml:space="preserve">3. Registro de Marca ante el IMPI</w:t>
      </w:r>
    </w:p>
    <w:p>
      <w:pPr>
        <w:pStyle w:val="Heading2"/>
      </w:pPr>
      <w:r>
        <w:t xml:space="preserve">3.1 Tipos de marca</w:t>
      </w:r>
    </w:p>
    <w:p>
      <w:pPr>
        <w:pStyle w:val="ListParagraph"/>
        <w:numPr>
          <w:ilvl w:val="0"/>
          <w:numId w:val="2"/>
        </w:numPr>
        <w:spacing w:after="80"/>
      </w:pPr>
      <w:r>
        <w:rPr>
          <w:b/>
          <w:bCs/>
        </w:rPr>
        <w:t xml:space="preserve">Nominativa: </w:t>
      </w:r>
      <w:r>
        <w:t xml:space="preserve">solo el nombre, en texto, sin diseño (ej. el nombre de tu empresa escrito en cualquier tipografía).</w:t>
      </w:r>
    </w:p>
    <w:p>
      <w:pPr>
        <w:pStyle w:val="ListParagraph"/>
        <w:numPr>
          <w:ilvl w:val="0"/>
          <w:numId w:val="2"/>
        </w:numPr>
        <w:spacing w:after="80"/>
      </w:pPr>
      <w:r>
        <w:rPr>
          <w:b/>
          <w:bCs/>
        </w:rPr>
        <w:t xml:space="preserve">Innominada: </w:t>
      </w:r>
      <w:r>
        <w:t xml:space="preserve">solo el logo o símbolo gráfico, sin texto.</w:t>
      </w:r>
    </w:p>
    <w:p>
      <w:pPr>
        <w:pStyle w:val="ListParagraph"/>
        <w:numPr>
          <w:ilvl w:val="0"/>
          <w:numId w:val="2"/>
        </w:numPr>
        <w:spacing w:after="80"/>
      </w:pPr>
      <w:r>
        <w:rPr>
          <w:b/>
          <w:bCs/>
        </w:rPr>
        <w:t xml:space="preserve">Mixta: </w:t>
      </w:r>
      <w:r>
        <w:t xml:space="preserve">combinación de nombre y logo juntos, tal como se usan en la práctica.</w:t>
      </w:r>
    </w:p>
    <w:p>
      <w:pPr>
        <w:spacing w:after="160"/>
      </w:pPr>
      <w:r>
        <w:t xml:space="preserve">Muchos negocios necesitan proteger más de un tipo (por ejemplo, el nombre por sí solo Y el logo) para tener cobertura completa.</w:t>
      </w:r>
    </w:p>
    <w:p>
      <w:pPr>
        <w:pStyle w:val="Heading2"/>
      </w:pPr>
      <w:r>
        <w:t xml:space="preserve">3.2 La Clasificación de Niza: el paso que más errores genera</w:t>
      </w:r>
    </w:p>
    <w:p>
      <w:pPr>
        <w:spacing w:after="160"/>
      </w:pPr>
      <w:r>
        <w:t xml:space="preserve">El IMPI usa la Clasificación de Niza, un sistema internacional de 45 clases (1-34 productos, 35-45 servicios). Tu marca solo queda protegida en las clases que registras, no en todas.</w:t>
      </w:r>
    </w:p>
    <w:p>
      <w:pPr>
        <w:pStyle w:val="ListParagraph"/>
        <w:numPr>
          <w:ilvl w:val="0"/>
          <w:numId w:val="2"/>
        </w:numPr>
        <w:spacing w:after="80"/>
      </w:pPr>
      <w:r>
        <w:rPr>
          <w:b/>
          <w:bCs/>
        </w:rPr>
        <w:t xml:space="preserve">Error común #1: </w:t>
      </w:r>
      <w:r>
        <w:t xml:space="preserve">registrar solo la clase del producto y olvidar la clase 35 (publicidad, venta y comercialización), relevante si también vendes o promocionas directamente.</w:t>
      </w:r>
    </w:p>
    <w:p>
      <w:pPr>
        <w:pStyle w:val="ListParagraph"/>
        <w:numPr>
          <w:ilvl w:val="0"/>
          <w:numId w:val="2"/>
        </w:numPr>
        <w:spacing w:after="80"/>
      </w:pPr>
      <w:r>
        <w:rPr>
          <w:b/>
          <w:bCs/>
        </w:rPr>
        <w:t xml:space="preserve">Error común #2: </w:t>
      </w:r>
      <w:r>
        <w:t xml:space="preserve">confundir software (clase 9, programas como producto) con servicios de software/SaaS (clase 42).</w:t>
      </w:r>
    </w:p>
    <w:p>
      <w:pPr>
        <w:pStyle w:val="ListParagraph"/>
        <w:numPr>
          <w:ilvl w:val="0"/>
          <w:numId w:val="2"/>
        </w:numPr>
        <w:spacing w:after="80"/>
      </w:pPr>
      <w:r>
        <w:rPr>
          <w:b/>
          <w:bCs/>
        </w:rPr>
        <w:t xml:space="preserve">Error común #3: </w:t>
      </w:r>
      <w:r>
        <w:t xml:space="preserve">registrar en la clase equivocada — el título resultante no protege tu actividad real, y un competidor puede registrar el mismo nombre en la clase que sí te interesaba.</w:t>
      </w:r>
    </w:p>
    <w:p>
      <w:pPr>
        <w:pStyle w:val="Heading2"/>
      </w:pPr>
      <w:r>
        <w:t xml:space="preserve">3.3 Pasos del proceso</w:t>
      </w:r>
    </w:p>
    <w:p>
      <w:pPr>
        <w:pStyle w:val="ListParagraph"/>
        <w:numPr>
          <w:ilvl w:val="0"/>
          <w:numId w:val="3"/>
        </w:numPr>
        <w:spacing w:after="80"/>
      </w:pPr>
      <w:r>
        <w:t xml:space="preserve">Búsqueda de antecedentes en MARCANET — gratuita, para detectar marcas idénticas o similares ya registradas en tu clase.</w:t>
      </w:r>
    </w:p>
    <w:p>
      <w:pPr>
        <w:pStyle w:val="ListParagraph"/>
        <w:numPr>
          <w:ilvl w:val="0"/>
          <w:numId w:val="3"/>
        </w:numPr>
        <w:spacing w:after="80"/>
      </w:pPr>
      <w:r>
        <w:t xml:space="preserve">Definir el tipo de marca (nominativa, innominada o mixta) y la o las clases de Niza correspondientes.</w:t>
      </w:r>
    </w:p>
    <w:p>
      <w:pPr>
        <w:pStyle w:val="ListParagraph"/>
        <w:numPr>
          <w:ilvl w:val="0"/>
          <w:numId w:val="3"/>
        </w:numPr>
        <w:spacing w:after="80"/>
      </w:pPr>
      <w:r>
        <w:t xml:space="preserve">Presentar la solicitud en línea a través del portal del IMPI (marcanet.impi.gob.mx / Tu PASE), con RFC, CURP, datos del titular y, si aplica, el archivo del logotipo.</w:t>
      </w:r>
    </w:p>
    <w:p>
      <w:pPr>
        <w:pStyle w:val="ListParagraph"/>
        <w:numPr>
          <w:ilvl w:val="0"/>
          <w:numId w:val="3"/>
        </w:numPr>
        <w:spacing w:after="80"/>
      </w:pPr>
      <w:r>
        <w:t xml:space="preserve">Pagar la tarifa oficial por clase (consulta la tarifa vigente en el portal del IMPI; ronda los $2,700–$3,100 MXN por clase en 2026, e incluye un descuento si el trámite se hace en línea).</w:t>
      </w:r>
    </w:p>
    <w:p>
      <w:pPr>
        <w:pStyle w:val="ListParagraph"/>
        <w:numPr>
          <w:ilvl w:val="0"/>
          <w:numId w:val="3"/>
        </w:numPr>
        <w:spacing w:after="80"/>
      </w:pPr>
      <w:r>
        <w:t xml:space="preserve">Examen de forma (1-2 meses): el IMPI revisa que la solicitud y el pago estén completos.</w:t>
      </w:r>
    </w:p>
    <w:p>
      <w:pPr>
        <w:pStyle w:val="ListParagraph"/>
        <w:numPr>
          <w:ilvl w:val="0"/>
          <w:numId w:val="3"/>
        </w:numPr>
        <w:spacing w:after="80"/>
      </w:pPr>
      <w:r>
        <w:t xml:space="preserve">Publicación en la Gaceta para oposición de terceros (alrededor de 30 días hábiles).</w:t>
      </w:r>
    </w:p>
    <w:p>
      <w:pPr>
        <w:pStyle w:val="ListParagraph"/>
        <w:numPr>
          <w:ilvl w:val="0"/>
          <w:numId w:val="3"/>
        </w:numPr>
        <w:spacing w:after="80"/>
      </w:pPr>
      <w:r>
        <w:t xml:space="preserve">Examen de fondo (varios meses): el IMPI analiza distintividad y posibles conflictos con marcas previas.</w:t>
      </w:r>
    </w:p>
    <w:p>
      <w:pPr>
        <w:pStyle w:val="ListParagraph"/>
        <w:numPr>
          <w:ilvl w:val="0"/>
          <w:numId w:val="3"/>
        </w:numPr>
        <w:spacing w:after="80"/>
      </w:pPr>
      <w:r>
        <w:t xml:space="preserve">Concesión y expedición del Título de Registro, con vigencia de 10 años renovables indefinidamente.</w:t>
      </w:r>
    </w:p>
    <w:p>
      <w:pPr>
        <w:pBdr>
          <w:top w:val="single" w:color="9C2B2B" w:sz="6" w:space="8"/>
          <w:left w:val="single" w:color="9C2B2B" w:sz="6" w:space="8"/>
          <w:bottom w:val="single" w:color="9C2B2B" w:sz="6" w:space="8"/>
          <w:right w:val="single" w:color="9C2B2B" w:sz="6" w:space="8"/>
        </w:pBdr>
        <w:shd w:fill="FBEAEA" w:val="clear"/>
        <w:spacing w:after="200" w:before="120"/>
      </w:pPr>
      <w:r>
        <w:rPr>
          <w:b/>
          <w:bCs/>
          <w:color w:val="9C2B2B"/>
        </w:rPr>
        <w:t xml:space="preserve">Tiempos reales: </w:t>
      </w:r>
      <w:r>
        <w:t xml:space="preserve">Sin oposiciones ni observaciones, el proceso completo suele tomar entre 4 y 8 meses; con observaciones del IMPI o una oposición de tercero, puede extenderse a más de un año. El pago de derechos no es reembolsable aunque la marca sea rechazada — por eso la búsqueda previa en MARCANET es indispensable antes de pagar.</w:t>
      </w:r>
    </w:p>
    <w:p>
      <w:pPr>
        <w:pStyle w:val="Heading2"/>
      </w:pPr>
      <w:r>
        <w:t xml:space="preserve">3.4 Qué NO se puede registrar como marca</w:t>
      </w:r>
    </w:p>
    <w:p>
      <w:pPr>
        <w:pStyle w:val="ListParagraph"/>
        <w:numPr>
          <w:ilvl w:val="0"/>
          <w:numId w:val="2"/>
        </w:numPr>
        <w:spacing w:after="80"/>
      </w:pPr>
      <w:r>
        <w:t xml:space="preserve">Términos genéricos o descriptivos del propio producto (ej. “Café” para una marca de café).</w:t>
      </w:r>
    </w:p>
    <w:p>
      <w:pPr>
        <w:pStyle w:val="ListParagraph"/>
        <w:numPr>
          <w:ilvl w:val="0"/>
          <w:numId w:val="2"/>
        </w:numPr>
        <w:spacing w:after="80"/>
      </w:pPr>
      <w:r>
        <w:t xml:space="preserve">Escudos, banderas o siglas de organismos oficiales.</w:t>
      </w:r>
    </w:p>
    <w:p>
      <w:pPr>
        <w:pStyle w:val="ListParagraph"/>
        <w:numPr>
          <w:ilvl w:val="0"/>
          <w:numId w:val="2"/>
        </w:numPr>
        <w:spacing w:after="80"/>
      </w:pPr>
      <w:r>
        <w:t xml:space="preserve">Marcas idénticas o muy similares (fonética o visualmente) a una ya registrada en la misma clase.</w:t>
      </w:r>
    </w:p>
    <w:p>
      <w:pPr>
        <w:pStyle w:val="ListParagraph"/>
        <w:numPr>
          <w:ilvl w:val="0"/>
          <w:numId w:val="2"/>
        </w:numPr>
        <w:spacing w:after="80"/>
      </w:pPr>
      <w:r>
        <w:t xml:space="preserve">Contenido contrario a la moral o el orden público.</w:t>
      </w:r>
    </w:p>
    <w:p>
      <w:pPr>
        <w:pStyle w:val="Heading2"/>
      </w:pPr>
      <w:r>
        <w:t xml:space="preserve">3.5 Protección internacional</w:t>
      </w:r>
    </w:p>
    <w:p>
      <w:pPr>
        <w:spacing w:after="160"/>
      </w:pPr>
      <w:r>
        <w:t xml:space="preserve">El registro ante el IMPI solo protege dentro de México. Para proteger una marca en otros países, existe el Sistema de Madrid (administrado por la OMPI), que permite solicitar protección en más de 120 países mediante un solo trámite internacional con base en el registro mexicano.</w:t>
      </w:r>
    </w:p>
    <w:p>
      <w:pPr>
        <w:pStyle w:val="Heading1"/>
      </w:pPr>
      <w:r>
        <w:t xml:space="preserve">4. Registro de Obra ante el INDAUTOR</w:t>
      </w:r>
    </w:p>
    <w:p>
      <w:pPr>
        <w:pStyle w:val="ListParagraph"/>
        <w:numPr>
          <w:ilvl w:val="0"/>
          <w:numId w:val="2"/>
        </w:numPr>
        <w:spacing w:after="80"/>
      </w:pPr>
      <w:r>
        <w:rPr>
          <w:b/>
          <w:bCs/>
        </w:rPr>
        <w:t xml:space="preserve">Qué protege: </w:t>
      </w:r>
      <w:r>
        <w:t xml:space="preserve">software, sitios web, manuales, contenido escrito, diseños gráficos, fotografías, música y otras obras originales.</w:t>
      </w:r>
    </w:p>
    <w:p>
      <w:pPr>
        <w:pStyle w:val="ListParagraph"/>
        <w:numPr>
          <w:ilvl w:val="0"/>
          <w:numId w:val="2"/>
        </w:numPr>
        <w:spacing w:after="80"/>
      </w:pPr>
      <w:r>
        <w:rPr>
          <w:b/>
          <w:bCs/>
        </w:rPr>
        <w:t xml:space="preserve">Nace automáticamente: </w:t>
      </w:r>
      <w:r>
        <w:t xml:space="preserve">el derecho de autor existe desde el momento de la creación; el registro ante INDAUTOR no es obligatorio para que exista el derecho, pero es la prueba oficial más sólida de autoría y fecha de creación.</w:t>
      </w:r>
    </w:p>
    <w:p>
      <w:pPr>
        <w:pStyle w:val="ListParagraph"/>
        <w:numPr>
          <w:ilvl w:val="0"/>
          <w:numId w:val="2"/>
        </w:numPr>
        <w:spacing w:after="80"/>
      </w:pPr>
      <w:r>
        <w:rPr>
          <w:b/>
          <w:bCs/>
        </w:rPr>
        <w:t xml:space="preserve">Por qué registrar igual: </w:t>
      </w:r>
      <w:r>
        <w:t xml:space="preserve">ante una disputa (alguien copia tu software o tu contenido), el certificado de INDAUTOR es la evidencia más directa para acreditar quién creó la obra primero.</w:t>
      </w:r>
    </w:p>
    <w:p>
      <w:pPr>
        <w:pStyle w:val="ListParagraph"/>
        <w:numPr>
          <w:ilvl w:val="0"/>
          <w:numId w:val="2"/>
        </w:numPr>
        <w:spacing w:after="80"/>
      </w:pPr>
      <w:r>
        <w:rPr>
          <w:b/>
          <w:bCs/>
        </w:rPr>
        <w:t xml:space="preserve">Cesión a la empresa: </w:t>
      </w:r>
      <w:r>
        <w:t xml:space="preserve">si un desarrollador, diseñador o redactor freelance crea la obra, el contrato debe especificar expresamente la cesión de derechos patrimoniales a la empresa — sin esa cláusula, los derechos pueden seguir siendo del creador original.</w:t>
      </w:r>
    </w:p>
    <w:p>
      <w:pPr>
        <w:pStyle w:val="Heading1"/>
      </w:pPr>
      <w:r>
        <w:t xml:space="preserve">5. Propiedad Intelectual en Equipos y Freelancers</w:t>
      </w:r>
    </w:p>
    <w:p>
      <w:pPr>
        <w:pStyle w:val="ListParagraph"/>
        <w:numPr>
          <w:ilvl w:val="0"/>
          <w:numId w:val="2"/>
        </w:numPr>
        <w:spacing w:after="80"/>
      </w:pPr>
      <w:r>
        <w:rPr>
          <w:b/>
          <w:bCs/>
        </w:rPr>
        <w:t xml:space="preserve">Empleados (relación laboral): </w:t>
      </w:r>
      <w:r>
        <w:t xml:space="preserve">conforme a la Ley Federal del Derecho de Autor y la Ley Federal de Protección a la Propiedad Industrial, lo creado dentro de la relación laboral y relacionado con las funciones del puesto generalmente pertenece al patrón, pero es buena práctica dejarlo explícito en el contrato.</w:t>
      </w:r>
    </w:p>
    <w:p>
      <w:pPr>
        <w:pStyle w:val="ListParagraph"/>
        <w:numPr>
          <w:ilvl w:val="0"/>
          <w:numId w:val="2"/>
        </w:numPr>
        <w:spacing w:after="80"/>
      </w:pPr>
      <w:r>
        <w:rPr>
          <w:b/>
          <w:bCs/>
        </w:rPr>
        <w:t xml:space="preserve">Freelancers y proveedores externos: </w:t>
      </w:r>
      <w:r>
        <w:t xml:space="preserve">la cesión de derechos NO es automática — el contrato de prestación de servicios debe incluir una cláusula expresa de cesión total de derechos patrimoniales (y, cuando aplique, de los derechos de propiedad industrial) a favor de la empresa que contrata.</w:t>
      </w:r>
    </w:p>
    <w:p>
      <w:pPr>
        <w:pStyle w:val="ListParagraph"/>
        <w:numPr>
          <w:ilvl w:val="0"/>
          <w:numId w:val="2"/>
        </w:numPr>
        <w:spacing w:after="80"/>
      </w:pPr>
      <w:r>
        <w:rPr>
          <w:b/>
          <w:bCs/>
        </w:rPr>
        <w:t xml:space="preserve">Socios fundadores: </w:t>
      </w:r>
      <w:r>
        <w:t xml:space="preserve">si algún socio aporta propiedad intelectual previa a la sociedad (código, diseño, marca), debe quedar documentado si la cede, la licencia, o si la empresa solo tiene derecho de uso — ver también la guía de cláusulas para acuerdos entre socios.</w:t>
      </w:r>
    </w:p>
    <w:p>
      <w:pPr>
        <w:pStyle w:val="Heading1"/>
      </w:pPr>
      <w:r>
        <w:t xml:space="preserve">6. Checklist de Propiedad Intelectual</w:t>
      </w:r>
    </w:p>
    <w:p>
      <w:pPr>
        <w:pStyle w:val="ListParagraph"/>
        <w:numPr>
          <w:ilvl w:val="0"/>
          <w:numId w:val="3"/>
        </w:numPr>
        <w:spacing w:after="80"/>
      </w:pPr>
      <w:r>
        <w:t xml:space="preserve">Hacer una búsqueda en MARCANET antes de elegir el nombre definitivo del negocio.</w:t>
      </w:r>
    </w:p>
    <w:p>
      <w:pPr>
        <w:pStyle w:val="ListParagraph"/>
        <w:numPr>
          <w:ilvl w:val="0"/>
          <w:numId w:val="3"/>
        </w:numPr>
        <w:spacing w:after="80"/>
      </w:pPr>
      <w:r>
        <w:t xml:space="preserve">Registrar la marca en todas las clases de Niza relevantes para la actividad real del negocio (no solo la obvia).</w:t>
      </w:r>
    </w:p>
    <w:p>
      <w:pPr>
        <w:pStyle w:val="ListParagraph"/>
        <w:numPr>
          <w:ilvl w:val="0"/>
          <w:numId w:val="3"/>
        </w:numPr>
        <w:spacing w:after="80"/>
      </w:pPr>
      <w:r>
        <w:t xml:space="preserve">Registrar tanto la versión nominativa como la mixta si el logo es parte importante de la identidad de marca.</w:t>
      </w:r>
    </w:p>
    <w:p>
      <w:pPr>
        <w:pStyle w:val="ListParagraph"/>
        <w:numPr>
          <w:ilvl w:val="0"/>
          <w:numId w:val="3"/>
        </w:numPr>
        <w:spacing w:after="80"/>
      </w:pPr>
      <w:r>
        <w:t xml:space="preserve">Registrar ante INDAUTOR el software, contenido o diseños clave del negocio.</w:t>
      </w:r>
    </w:p>
    <w:p>
      <w:pPr>
        <w:pStyle w:val="ListParagraph"/>
        <w:numPr>
          <w:ilvl w:val="0"/>
          <w:numId w:val="3"/>
        </w:numPr>
        <w:spacing w:after="80"/>
      </w:pPr>
      <w:r>
        <w:t xml:space="preserve">Incluir cláusulas de cesión de propiedad intelectual en todos los contratos con freelancers, agencias y desarrolladores externos.</w:t>
      </w:r>
    </w:p>
    <w:p>
      <w:pPr>
        <w:pStyle w:val="ListParagraph"/>
        <w:numPr>
          <w:ilvl w:val="0"/>
          <w:numId w:val="3"/>
        </w:numPr>
        <w:spacing w:after="80"/>
      </w:pPr>
      <w:r>
        <w:t xml:space="preserve">Marcar en el calendario la fecha de renovación de la marca (a los 10 años) con recordatorios previos.</w:t>
      </w:r>
    </w:p>
    <w:p>
      <w:pPr>
        <w:pStyle w:val="ListParagraph"/>
        <w:numPr>
          <w:ilvl w:val="0"/>
          <w:numId w:val="3"/>
        </w:numPr>
        <w:spacing w:after="80"/>
      </w:pPr>
      <w:r>
        <w:t xml:space="preserve">Si hay planes de expansión internacional, evaluar el Sistema de Madrid antes de lanzar en otro país.</w:t>
      </w:r>
    </w:p>
    <w:p>
      <w:pPr>
        <w:pBdr>
          <w:bottom w:val="single" w:color="2E75B6" w:sz="6" w:space="1"/>
        </w:pBdr>
        <w:spacing w:after="240" w:before="80"/>
      </w:pPr>
      <w:r>
        <w:t xml:space="preserve"/>
      </w:r>
    </w:p>
    <w:p>
      <w:pPr>
        <w:pStyle w:val="Heading2"/>
      </w:pPr>
      <w:r>
        <w:t xml:space="preserve">Disclaimer</w:t>
      </w:r>
    </w:p>
    <w:p>
      <w:pPr>
        <w:spacing w:after="160"/>
      </w:pPr>
      <w:r>
        <w:rPr>
          <w:i/>
          <w:iCs/>
        </w:rPr>
        <w:t xml:space="preserve">Este documento tiene fines exclusivamente informativos y educativos sobre el registro de marcas ante el IMPI y de obras ante el INDAUTOR en México. No constituye asesoría legal personalizada y no crea relación abogado-cliente. Las tarifas, plazos y criterios de ambas autoridades se actualizan periódicamente; confirma siempre la información vigente en los portales oficiales o con un especialista en propiedad intelectual antes de iniciar un trámite.</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95959"/>
        <w:sz w:val="16"/>
        <w:szCs w:val="16"/>
      </w:rPr>
      <w:t xml:space="preserve">Página </w:t>
    </w:r>
    <w:r>
      <w:rPr>
        <w:color w:val="595959"/>
        <w:sz w:val="16"/>
        <w:szCs w:val="16"/>
      </w:rPr>
      <w:fldChar w:fldCharType="begin"/>
      <w:instrText xml:space="preserve">PAGE</w:instrText>
      <w:fldChar w:fldCharType="separate"/>
      <w:fldChar w:fldCharType="end"/>
    </w:r>
    <w:r>
      <w:rPr>
        <w:color w:val="595959"/>
        <w:sz w:val="16"/>
        <w:szCs w:val="16"/>
      </w:rPr>
      <w:t xml:space="preserve"> de </w:t>
    </w:r>
    <w:r>
      <w:rPr>
        <w:color w:val="595959"/>
        <w:sz w:val="16"/>
        <w:szCs w:val="16"/>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CCCCC" w:sz="4" w:space="4"/>
      </w:pBdr>
      <w:tabs>
        <w:tab w:val="right" w:pos="9026"/>
      </w:tabs>
    </w:pPr>
    <w:r>
      <w:rPr>
        <w:color w:val="595959"/>
        <w:sz w:val="16"/>
        <w:szCs w:val="16"/>
      </w:rPr>
      <w:t xml:space="preserve">Guía de Propiedad Intelectual</w:t>
    </w:r>
    <w:r>
      <w:rPr>
        <w:color w:val="595959"/>
        <w:sz w:val="16"/>
        <w:szCs w:val="16"/>
      </w:rPr>
      <w:t xml:space="preserve">	Guía educativa — México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80" w:hanging="280"/>
      </w:pPr>
    </w:lvl>
  </w:abstractNum>
  <w:abstractNum w:abstractNumId="3" w15:restartNumberingAfterBreak="0">
    <w:multiLevelType w:val="hybridMultilevel"/>
    <w:lvl w:ilvl="0" w15:tentative="1">
      <w:start w:val="1"/>
      <w:numFmt w:val="decimal"/>
      <w:lvlText w:val="%1."/>
      <w:lvlJc w:val="left"/>
      <w:pPr>
        <w:ind w:left="480" w:hanging="28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262626"/>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2E75B6" w:sz="8" w:space="4"/>
      </w:pBdr>
      <w:spacing w:after="240" w:before="480"/>
      <w:outlineLvl w:val="0"/>
    </w:pPr>
    <w:rPr>
      <w:rFonts w:ascii="Arial" w:cs="Arial" w:eastAsia="Arial" w:hAnsi="Arial"/>
      <w:b/>
      <w:bCs/>
      <w:color w:val="1F3864"/>
      <w:sz w:val="32"/>
      <w:szCs w:val="32"/>
    </w:rPr>
  </w:style>
  <w:style w:type="paragraph" w:styleId="Heading2">
    <w:name w:val="Heading 2"/>
    <w:basedOn w:val="Normal"/>
    <w:next w:val="Normal"/>
    <w:qFormat/>
    <w:pPr>
      <w:spacing w:after="160" w:before="320"/>
      <w:outlineLvl w:val="1"/>
    </w:pPr>
    <w:rPr>
      <w:rFonts w:ascii="Arial" w:cs="Arial" w:eastAsia="Arial" w:hAnsi="Arial"/>
      <w:b/>
      <w:bCs/>
      <w:color w:val="1F3864"/>
      <w:sz w:val="26"/>
      <w:szCs w:val="26"/>
    </w:rPr>
  </w:style>
  <w:style w:type="paragraph" w:styleId="Heading3">
    <w:name w:val="Heading 3"/>
    <w:basedOn w:val="Normal"/>
    <w:next w:val="Normal"/>
    <w:qFormat/>
    <w:pPr>
      <w:spacing w:after="120" w:before="220"/>
      <w:outlineLvl w:val="2"/>
    </w:pPr>
    <w:rPr>
      <w:rFonts w:ascii="Arial" w:cs="Arial" w:eastAsia="Arial" w:hAnsi="Arial"/>
      <w:b/>
      <w:bCs/>
      <w:color w:val="2E75B6"/>
      <w:sz w:val="23"/>
      <w:szCs w:val="23"/>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2026-06-25T20:41:20.013Z</dcterms:created>
  <dcterms:modified xsi:type="dcterms:W3CDTF">2026-06-25T20:41:20.013Z</dcterms:modified>
</cp:coreProperties>
</file>

<file path=docProps/custom.xml><?xml version="1.0" encoding="utf-8"?>
<Properties xmlns="http://schemas.openxmlformats.org/officeDocument/2006/custom-properties" xmlns:vt="http://schemas.openxmlformats.org/officeDocument/2006/docPropsVTypes"/>
</file>