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  <w:jc w:val="center"/>
      </w:pPr>
      <w:r>
        <w:rPr>
          <w:b/>
          <w:bCs/>
          <w:color w:val="1F3864"/>
          <w:sz w:val="44"/>
          <w:szCs w:val="44"/>
        </w:rPr>
        <w:t xml:space="preserve">GUÍA FISCAL</w:t>
      </w:r>
    </w:p>
    <w:p>
      <w:pPr>
        <w:spacing w:after="80" w:before="120"/>
        <w:jc w:val="center"/>
      </w:pPr>
      <w:r>
        <w:rPr>
          <w:b/>
          <w:bCs/>
          <w:color w:val="2E75B6"/>
          <w:sz w:val="30"/>
          <w:szCs w:val="30"/>
        </w:rPr>
        <w:t xml:space="preserve">Regímenes, Obligaciones y Buenas Prácticas ante el SAT</w:t>
      </w:r>
    </w:p>
    <w:p>
      <w:pPr>
        <w:spacing w:after="1000" w:before="240"/>
        <w:jc w:val="center"/>
      </w:pPr>
      <w:r>
        <w:rPr>
          <w:i/>
          <w:iCs/>
          <w:color w:val="595959"/>
          <w:sz w:val="22"/>
          <w:szCs w:val="22"/>
        </w:rPr>
        <w:t xml:space="preserve">Para personas físicas, profesionales independientes y empresas en México</w:t>
      </w:r>
    </w:p>
    <w:p>
      <w:pPr>
        <w:pBdr>
          <w:top w:val="single" w:color="9C2B2B" w:sz="6" w:space="8"/>
          <w:left w:val="single" w:color="9C2B2B" w:sz="6" w:space="8"/>
          <w:bottom w:val="single" w:color="9C2B2B" w:sz="6" w:space="8"/>
          <w:right w:val="single" w:color="9C2B2B" w:sz="6" w:space="8"/>
        </w:pBdr>
        <w:shd w:fill="FBEAEA" w:val="clear"/>
        <w:spacing w:after="200" w:before="120"/>
      </w:pPr>
      <w:r>
        <w:rPr>
          <w:b/>
          <w:bCs/>
          <w:color w:val="9C2B2B"/>
        </w:rPr>
        <w:t xml:space="preserve">Importante: </w:t>
      </w:r>
      <w:r>
        <w:t xml:space="preserve">Este documento es exclusivamente educativo e informativo. No constituye asesoría fiscal personalizada. Las tasas, límites y reglas del SAT cambian con frecuencia (incluso varias veces al año); confirma siempre las cifras vigentes con tu contador antes de tomar decisiones.</w:t>
      </w:r>
    </w:p>
    <w:p>
      <w:r>
        <w:br w:type="page"/>
      </w:r>
    </w:p>
    <w:p>
      <w:pPr>
        <w:pStyle w:val="Heading1"/>
      </w:pPr>
      <w:r>
        <w:t xml:space="preserve">Tabla de Contenido</w:t>
      </w:r>
    </w:p>
    <w:sdt>
      <w:sdtPr>
        <w:alias w:val="Tabla de Contenido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Introducción</w:t>
      </w:r>
    </w:p>
    <w:p>
      <w:pPr>
        <w:spacing w:after="160"/>
      </w:pPr>
      <w:r>
        <w:t xml:space="preserve">Elegir bien el régimen fiscal y cumplir con orden tus obligaciones ante el SAT no es un trámite menor: es la diferencia entre crecer tranquilo o vivir con el riesgo constante de un requerimiento, una discrepancia fiscal o un bloqueo de cuentas. Esta guía resume, en términos prácticos, los regímenes fiscales más comunes en México para personas físicas y empresas, sus obligaciones principales y los errores que generan más problemas con el SAT.</w:t>
      </w:r>
    </w:p>
    <w:p>
      <w:pPr>
        <w:pBdr>
          <w:top w:val="single" w:color="2E75B6" w:sz="6" w:space="8"/>
          <w:left w:val="single" w:color="2E75B6" w:sz="6" w:space="8"/>
          <w:bottom w:val="single" w:color="2E75B6" w:sz="6" w:space="8"/>
          <w:right w:val="single" w:color="2E75B6" w:sz="6" w:space="8"/>
        </w:pBdr>
        <w:shd w:fill="F2F7FC" w:val="clear"/>
        <w:spacing w:after="200" w:before="120"/>
      </w:pPr>
      <w:r>
        <w:rPr>
          <w:b/>
          <w:bCs/>
          <w:color w:val="1F3864"/>
        </w:rPr>
        <w:t xml:space="preserve">Importante: </w:t>
      </w:r>
      <w:r>
        <w:t xml:space="preserve">Esta guía es informativa y educativa. Las tasas, límites y criterios del SAT cambian con frecuencia (incluso varias veces al año vía RMF). Antes de tomar una decisión fiscal, confirma las cifras vigentes con tu contador.</w:t>
      </w:r>
    </w:p>
    <w:p>
      <w:pPr>
        <w:pStyle w:val="Heading1"/>
      </w:pPr>
      <w:r>
        <w:t xml:space="preserve">2. Regímenes Fiscales para Personas Físicas</w:t>
      </w:r>
    </w:p>
    <w:p>
      <w:pPr>
        <w:pStyle w:val="Heading2"/>
      </w:pPr>
      <w:r>
        <w:t xml:space="preserve">2.1 Régimen Simplificado de Confianza (RESICO)</w:t>
      </w:r>
    </w:p>
    <w:p>
      <w:pPr>
        <w:spacing w:after="160"/>
      </w:pPr>
      <w:r>
        <w:t xml:space="preserve">Es, para la mayoría de los profesionales independientes y pequeños negocios, el régimen más conveniente cuando aplica.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Quién puede tributar: </w:t>
      </w:r>
      <w:r>
        <w:t xml:space="preserve">personas físicas con actividad empresarial, servicios profesionales (honorarios), arrendamiento o actividades del sector primario, cuyos ingresos anuales no superen 3.5 millones de pesos.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Quién NO puede tributar en RESICO: </w:t>
      </w:r>
      <w:r>
        <w:t xml:space="preserve">socios o accionistas de personas morales, personas que perciban ingresos exclusivamente por salarios, residentes en el extranjero sin establecimiento permanente, y quienes estén en el listado de incumplidos del artículo 69-B del Código Fiscal de la Federación.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Tasas de ISR: </w:t>
      </w:r>
      <w:r>
        <w:t xml:space="preserve">van del 1.0% al 2.5% sobre los ingresos efectivamente cobrados (no sobre lo facturado o devengado), según el tramo mensual de ingresos.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Ventajas principales: </w:t>
      </w:r>
      <w:r>
        <w:t xml:space="preserve">no hay deducciones que calcular, no se requiere contabilidad electrónica compleja, y en muchos casos no hay obligación de declaración anual si se cumplió correctamente con los pagos mensuales.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Requisitos formales: </w:t>
      </w:r>
      <w:r>
        <w:t xml:space="preserve">RFC actualizado, e.firma vigente, Buzón Tributario activo, y emisión de CFDI por cada ingreso percibido.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Importante sobre el cambio de régimen: </w:t>
      </w:r>
      <w:r>
        <w:t xml:space="preserve">una vez elegido RESICO al inicio del ejercicio, normalmente no se puede cambiar de régimen durante ese mismo año fiscal.</w:t>
      </w:r>
    </w:p>
    <w:p>
      <w:pPr>
        <w:pBdr>
          <w:top w:val="single" w:color="9C2B2B" w:sz="6" w:space="8"/>
          <w:left w:val="single" w:color="9C2B2B" w:sz="6" w:space="8"/>
          <w:bottom w:val="single" w:color="9C2B2B" w:sz="6" w:space="8"/>
          <w:right w:val="single" w:color="9C2B2B" w:sz="6" w:space="8"/>
        </w:pBdr>
        <w:shd w:fill="FBEAEA" w:val="clear"/>
        <w:spacing w:after="200" w:before="120"/>
      </w:pPr>
      <w:r>
        <w:rPr>
          <w:b/>
          <w:bCs/>
          <w:color w:val="9C2B2B"/>
        </w:rPr>
        <w:t xml:space="preserve">Atención: </w:t>
      </w:r>
      <w:r>
        <w:t xml:space="preserve">El límite de 3.5 millones se mide de forma acumulada en el año, no por mes aislado. Superarlo en cualquier momento del ejercicio obliga a migrar a otro régimen — por eso conviene llevar un control mensual del acumulado, no revisarlo hasta el cierre del año.</w:t>
      </w:r>
    </w:p>
    <w:p>
      <w:pPr>
        <w:pStyle w:val="Heading2"/>
      </w:pPr>
      <w:r>
        <w:t xml:space="preserve">2.2 Régimen de Actividades Empresariales y Profesionales</w:t>
      </w:r>
    </w:p>
    <w:p>
      <w:pPr>
        <w:spacing w:after="160"/>
      </w:pPr>
      <w:r>
        <w:t xml:space="preserve">Aplica para quienes superan el límite de RESICO o prefieren deducir gastos reales del negocio contra sus ingresos.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Cómo se calcula: </w:t>
      </w:r>
      <w:r>
        <w:t xml:space="preserve">ISR sobre la utilidad fiscal (ingresos menos deducciones autorizadas), con tarifa progresiva que puede llegar hasta 35%.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Cuándo conviene sobre RESICO: </w:t>
      </w:r>
      <w:r>
        <w:t xml:space="preserve">cuando los gastos deducibles representan una proporción considerable de los ingresos (como referencia orientativa, varios contadores usan el umbral de que los gastos superen ~30% de los ingresos para evaluar el cambio); en ese escenario, pagar sobre utilidad neta puede salir más barato que pagar una tasa fija sobre el ingreso bruto.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Obligaciones adicionales: </w:t>
      </w:r>
      <w:r>
        <w:t xml:space="preserve">declaraciones provisionales mensuales, declaración anual obligatoria, y contabilidad más detallada.</w:t>
      </w:r>
    </w:p>
    <w:p>
      <w:pPr>
        <w:pStyle w:val="Heading2"/>
      </w:pPr>
      <w:r>
        <w:t xml:space="preserve">2.3 Régimen de Sueldos y Salarios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Aplica a: </w:t>
      </w:r>
      <w:r>
        <w:t xml:space="preserve">quienes tienen una relación laboral subordinada (patrón-trabajador).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Retención: </w:t>
      </w:r>
      <w:r>
        <w:t xml:space="preserve">el patrón retiene y entera el ISR correspondiente; el trabajador normalmente no presenta declaraciones mensuales.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Combinación con otros regímenes: </w:t>
      </w:r>
      <w:r>
        <w:t xml:space="preserve">es posible tener ingresos por salario y, simultáneamente, ingresos por honorarios o actividad empresarial en RESICO, siempre que el conjunto no rebase el límite de ingresos permitido.</w:t>
      </w:r>
    </w:p>
    <w:p>
      <w:pPr>
        <w:pStyle w:val="Heading2"/>
      </w:pPr>
      <w:r>
        <w:t xml:space="preserve">2.4 Régimen de Plataformas Digitales</w:t>
      </w:r>
    </w:p>
    <w:p>
      <w:pPr>
        <w:spacing w:after="160"/>
      </w:pPr>
      <w:r>
        <w:t xml:space="preserve">Aplica a quienes generan ingresos a través de plataformas como apps de transporte, hospedaje, comercio electrónico o entrega de bienes.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Retención estandarizada: </w:t>
      </w:r>
      <w:r>
        <w:t xml:space="preserve">las plataformas retienen un porcentaje de ISR sobre el ingreso (la retención se ha estandarizado en torno al 2.5% para muchos esquemas, aunque conviene confirmar la tasa vigente por tipo de actividad).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Posibilidad de pago definitivo: </w:t>
      </w:r>
      <w:r>
        <w:t xml:space="preserve">en muchos casos, la retención de la plataforma puede considerarse pago definitivo, simplificando las obligaciones del contribuyente.</w:t>
      </w:r>
    </w:p>
    <w:p>
      <w:pPr>
        <w:pStyle w:val="Heading1"/>
      </w:pPr>
      <w:r>
        <w:t xml:space="preserve">3. Regímenes Fiscales para Personas Morales (Empresas)</w:t>
      </w:r>
    </w:p>
    <w:p>
      <w:pPr>
        <w:pStyle w:val="Heading2"/>
      </w:pPr>
      <w:r>
        <w:t xml:space="preserve">3.1 Régimen General de Ley (Personas Morales)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Aplica a: </w:t>
      </w:r>
      <w:r>
        <w:t xml:space="preserve">la mayoría de las sociedades mercantiles (S.A. de C.V., S. de R.L., etc.).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Tasa de ISR: </w:t>
      </w:r>
      <w:r>
        <w:t xml:space="preserve">30% sobre la utilidad fiscal del ejercicio.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Obligaciones: </w:t>
      </w:r>
      <w:r>
        <w:t xml:space="preserve">pagos provisionales mensuales, declaración anual, contabilidad electrónica completa, y dictamen fiscal en ciertos casos según el tamaño de la empresa.</w:t>
      </w:r>
    </w:p>
    <w:p>
      <w:pPr>
        <w:pStyle w:val="Heading2"/>
      </w:pPr>
      <w:r>
        <w:t xml:space="preserve">3.2 RESICO para Personas Morales</w:t>
      </w:r>
    </w:p>
    <w:p>
      <w:pPr>
        <w:spacing w:after="160"/>
      </w:pPr>
      <w:r>
        <w:t xml:space="preserve">Existe una versión de RESICO para personas morales, distinta a la de personas físicas, con reglas propias.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Límite de ingresos: </w:t>
      </w:r>
      <w:r>
        <w:t xml:space="preserve">hasta aproximadamente 36.52 millones de pesos anuales (cifra que se actualiza por inflación cada año).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Tipo de sociedades permitidas: </w:t>
      </w:r>
      <w:r>
        <w:t xml:space="preserve">Sociedades Anónimas, S. de R.L., cooperativas y otras figuras permitidas por la Ley del ISR; no aplica a fideicomisos ni asociaciones en participación.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Restricción de socios: </w:t>
      </w:r>
      <w:r>
        <w:t xml:space="preserve">los socios no pueden estar simultáneamente tributando en el régimen general de personas morales por otra empresa.</w:t>
      </w:r>
    </w:p>
    <w:p>
      <w:pPr>
        <w:pStyle w:val="Heading1"/>
      </w:pPr>
      <w:r>
        <w:t xml:space="preserve">4. Obligaciones Fiscales Recurrentes que Toda Empresa Debe Vigilar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360"/>
        <w:gridCol w:w="300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Obligación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Frecuencia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Riesgo si se omite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Declaraciones de ISR (provisionales o definitivas)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Mensual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Recargos, multas, riesgo de discrepancia fiscal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Declaración de IVA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Mensual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Recargos y posible cancelación de sello digital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DIOT (Declaración de Operaciones con Terceros)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Mensual (empresas)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Inconsistencias frente a proveedores reportados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Declaración anual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Anual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Multas y pérdida de beneficios fiscales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PTU (Participación de los Trabajadores en las Utilidades)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Anual (empresas con trabajadores)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Demandas laborales y sanciones de la STPS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Declaraciones informativas (ICSOE/SISUB si hay subcontratación)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Trimestral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Pérdida de deducibilidad de los pagos a proveedores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1"/>
      </w:pPr>
      <w:r>
        <w:t xml:space="preserve">5. Discrepancia Fiscal: La Causa Más Común de Problemas con el SAT</w:t>
      </w:r>
    </w:p>
    <w:p>
      <w:pPr>
        <w:spacing w:after="160"/>
      </w:pPr>
      <w:r>
        <w:t xml:space="preserve">La discrepancia fiscal ocurre cuando los depósitos, gastos o inversiones de una persona no corresponden con los ingresos que declaró. Es, hoy, una de las principales causas de revisión y de bloqueo de cuentas en México.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Cómo se detecta: </w:t>
      </w:r>
      <w:r>
        <w:t xml:space="preserve">el SAT cruza información de CFDI emitidos, declaraciones presentadas y movimientos bancarios reportados por las instituciones financieras.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Cómo se previene: </w:t>
      </w:r>
      <w:r>
        <w:t xml:space="preserve">declarar la totalidad de los ingresos (incluyendo los que parecen menores o esporádicos), conciliar mensualmente los depósitos bancarios contra lo declarado, y conservar el CFDI o el contrato que justifique cualquier depósito inusual (préstamo familiar, venta de un activo, herencia, etc.).</w:t>
      </w:r>
    </w:p>
    <w:p>
      <w:pPr>
        <w:pBdr>
          <w:top w:val="single" w:color="2E6B47" w:sz="6" w:space="8"/>
          <w:left w:val="single" w:color="2E6B47" w:sz="6" w:space="8"/>
          <w:bottom w:val="single" w:color="2E6B47" w:sz="6" w:space="8"/>
          <w:right w:val="single" w:color="2E6B47" w:sz="6" w:space="8"/>
        </w:pBdr>
        <w:shd w:fill="EAF3ED" w:val="clear"/>
        <w:spacing w:after="200" w:before="120"/>
      </w:pPr>
      <w:r>
        <w:rPr>
          <w:b/>
          <w:bCs/>
          <w:color w:val="2E6B47"/>
        </w:rPr>
        <w:t xml:space="preserve">Recomendación práctica: </w:t>
      </w:r>
      <w:r>
        <w:t xml:space="preserve">Si vas a recibir un depósito grande y poco común (venta de un auto, préstamo de un familiar, herencia), documenta el motivo desde el día uno — contrato, transferencia identificable, recibo. Eso es lo único que realmente te protege si el SAT pregunta después.</w:t>
      </w:r>
    </w:p>
    <w:p>
      <w:pPr>
        <w:pStyle w:val="Heading1"/>
      </w:pPr>
      <w:r>
        <w:t xml:space="preserve">6. Deducciones que las Pymes Suelen Dejar Pasar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Gastos de previsión social para empleados (dentro de los límites permitidos).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Inversiones en activo fijo (maquinaria, equipo de cómputo, mobiliario) vía depreciación.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Cuotas patronales del IMSS e INFONAVIT pagadas oportunamente.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Gastos de capacitación y de seguridad e higiene en el trabajo.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Intereses pagados por créditos destinados a la operación del negocio.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Donativos a instituciones autorizadas (con el límite legal correspondiente sobre la utilidad fiscal).</w:t>
      </w:r>
    </w:p>
    <w:p>
      <w:pPr>
        <w:pBdr>
          <w:top w:val="single" w:color="2E75B6" w:sz="6" w:space="8"/>
          <w:left w:val="single" w:color="2E75B6" w:sz="6" w:space="8"/>
          <w:bottom w:val="single" w:color="2E75B6" w:sz="6" w:space="8"/>
          <w:right w:val="single" w:color="2E75B6" w:sz="6" w:space="8"/>
        </w:pBdr>
        <w:shd w:fill="F2F7FC" w:val="clear"/>
        <w:spacing w:after="200" w:before="120"/>
      </w:pPr>
      <w:r>
        <w:rPr>
          <w:b/>
          <w:bCs/>
          <w:color w:val="1F3864"/>
        </w:rPr>
        <w:t xml:space="preserve">Regla de oro: </w:t>
      </w:r>
      <w:r>
        <w:t xml:space="preserve">Ninguna deducción es válida sin el CFDI correspondiente y sin que el gasto esté estrictamente relacionado con la actividad del negocio. Un gasto sin factura no es una deducción, es un riesgo.</w:t>
      </w:r>
    </w:p>
    <w:p>
      <w:pPr>
        <w:pStyle w:val="Heading1"/>
      </w:pPr>
      <w:r>
        <w:t xml:space="preserve">7. Facturación a Clientes en el Extranjero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CFDI con complemento de comercio exterior: </w:t>
      </w:r>
      <w:r>
        <w:t xml:space="preserve">necesario cuando hay exportación física de mercancías.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Tasa 0% de IVA en exportación de servicios: </w:t>
      </w:r>
      <w:r>
        <w:t xml:space="preserve">aplica en ciertos supuestos (por ejemplo, servicios de exportación aprovechados en el extranjero), pero requiere cumplir requisitos específicos para no perder el beneficio.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Tipo de cambio: </w:t>
      </w:r>
      <w:r>
        <w:t xml:space="preserve">el CFDI debe reflejar correctamente la moneda de la operación y el tipo de cambio aplicable según la fecha de la operación.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Riesgo de doble tributación: </w:t>
      </w:r>
      <w:r>
        <w:t xml:space="preserve">si el cliente también retiene impuestos en su país, conviene revisar si existe un tratado para evitar la doble tributación entre México y ese país.</w:t>
      </w:r>
    </w:p>
    <w:p>
      <w:pPr>
        <w:pStyle w:val="Heading1"/>
      </w:pPr>
      <w:r>
        <w:t xml:space="preserve">8. Checklist Fiscal Anual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Confirmar que el régimen fiscal elegido sigue siendo el más conveniente según el nivel de ingresos del año.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Revisar el acumulado de ingresos contra el límite de RESICO (si aplica) cada mes, no solo al cierre del año.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Conciliar mensualmente los depósitos bancarios contra los CFDI emitidos.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Verificar que e.firma y Buzón Tributario estén vigentes y con datos de contacto actualizados.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Calcular y pagar oportunamente la PTU si la empresa tuvo trabajadores y utilidad en el ejercicio.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Revisar que todos los proveedores relevantes no estén en la lista de EFOS (Empresas que Facturan Operaciones Simuladas) del SAT.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Guardar respaldo documental de cualquier ingreso o depósito inusual durante el año.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Planear con el contador, antes de diciembre, cualquier cambio de régimen para el siguiente ejercicio.</w:t>
      </w:r>
    </w:p>
    <w:p>
      <w:pPr>
        <w:pBdr>
          <w:bottom w:val="single" w:color="2E75B6" w:sz="6" w:space="1"/>
        </w:pBdr>
        <w:spacing w:after="240" w:before="80"/>
      </w:pPr>
      <w:r>
        <w:t xml:space="preserve"/>
      </w:r>
    </w:p>
    <w:p>
      <w:pPr>
        <w:pStyle w:val="Heading2"/>
      </w:pPr>
      <w:r>
        <w:t xml:space="preserve">Disclaimer</w:t>
      </w:r>
    </w:p>
    <w:p>
      <w:pPr>
        <w:spacing w:after="160"/>
      </w:pPr>
      <w:r>
        <w:rPr>
          <w:i/>
          <w:iCs/>
        </w:rPr>
        <w:t xml:space="preserve">Este documento tiene fines exclusivamente informativos y educativos sobre los regímenes fiscales vigentes en México y las obligaciones generales ante el SAT. No constituye asesoría fiscal personalizada y no crea relación contador-cliente. Las tasas, límites y criterios fiscales se actualizan con frecuencia mediante la Resolución Miscelánea Fiscal y reformas a la Ley del ISR; confirma siempre las cifras vigentes con un contador público antes de tomar decisiones.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Página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de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4"/>
      </w:pBdr>
      <w:tabs>
        <w:tab w:val="right" w:pos="9026"/>
      </w:tabs>
    </w:pPr>
    <w:r>
      <w:rPr>
        <w:color w:val="595959"/>
        <w:sz w:val="16"/>
        <w:szCs w:val="16"/>
      </w:rPr>
      <w:t xml:space="preserve">Guía Fiscal para Personas Físicas y Empresas</w:t>
    </w:r>
    <w:r>
      <w:rPr>
        <w:color w:val="595959"/>
        <w:sz w:val="16"/>
        <w:szCs w:val="16"/>
      </w:rPr>
      <w:t xml:space="preserve">	Guía educativa — México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62626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8" w:space="4"/>
      </w:pBdr>
      <w:spacing w:after="240" w:before="48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320"/>
      <w:outlineLvl w:val="1"/>
    </w:pPr>
    <w:rPr>
      <w:rFonts w:ascii="Arial" w:cs="Arial" w:eastAsia="Arial" w:hAnsi="Arial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20"/>
      <w:outlineLvl w:val="2"/>
    </w:pPr>
    <w:rPr>
      <w:rFonts w:ascii="Arial" w:cs="Arial" w:eastAsia="Arial" w:hAnsi="Arial"/>
      <w:b/>
      <w:bCs/>
      <w:color w:val="2E75B6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2026-06-25T20:41:19.398Z</dcterms:created>
  <dcterms:modified xsi:type="dcterms:W3CDTF">2026-06-25T20:41:19.411Z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