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jc w:val="center"/>
      </w:pPr>
      <w:r>
        <w:rPr>
          <w:b/>
          <w:bCs/>
          <w:color w:val="1F3864"/>
          <w:sz w:val="44"/>
          <w:szCs w:val="44"/>
        </w:rPr>
        <w:t xml:space="preserve">CUENTAS ESPEJO Y CONTINUIDAD BANCARIA</w:t>
      </w:r>
    </w:p>
    <w:p>
      <w:pPr>
        <w:spacing w:after="80" w:before="120"/>
        <w:jc w:val="center"/>
      </w:pPr>
      <w:r>
        <w:rPr>
          <w:b/>
          <w:bCs/>
          <w:color w:val="2E75B6"/>
          <w:sz w:val="30"/>
          <w:szCs w:val="30"/>
        </w:rPr>
        <w:t xml:space="preserve">Diversificación bancaria nacional e internacional ante bloqueos de cuentas</w:t>
      </w:r>
    </w:p>
    <w:p>
      <w:pPr>
        <w:spacing w:after="1000" w:before="240"/>
        <w:jc w:val="center"/>
      </w:pPr>
      <w:r>
        <w:rPr>
          <w:i/>
          <w:iCs/>
          <w:color w:val="595959"/>
          <w:sz w:val="22"/>
          <w:szCs w:val="22"/>
        </w:rPr>
        <w:t xml:space="preserve">Guía conceptual para personas físicas y empresas — México y contexto internacional</w:t>
      </w:r>
    </w:p>
    <w:p>
      <w:pPr>
        <w:pBdr>
          <w:top w:val="single" w:color="9C2B2B" w:sz="6" w:space="8"/>
          <w:left w:val="single" w:color="9C2B2B" w:sz="6" w:space="8"/>
          <w:bottom w:val="single" w:color="9C2B2B" w:sz="6" w:space="8"/>
          <w:right w:val="single" w:color="9C2B2B" w:sz="6" w:space="8"/>
        </w:pBdr>
        <w:shd w:fill="FBEAEA" w:val="clear"/>
        <w:spacing w:after="200" w:before="120"/>
      </w:pPr>
      <w:r>
        <w:rPr>
          <w:b/>
          <w:bCs/>
          <w:color w:val="9C2B2B"/>
        </w:rPr>
        <w:t xml:space="preserve">Importante: </w:t>
      </w:r>
      <w:r>
        <w:t xml:space="preserve">Este documento es exclusivamente educativo e informativo. No es asesoría legal, fiscal ni financiera, y no promueve evadir, ocultar o impedir el cumplimiento de una orden de autoridad. Su objetivo es explicar, en términos generales, cómo funciona la banca múltiple, qué es y qué no es una “cuenta espejo”, y por qué un bloqueo de cuentas ocurre y cómo se resuelve por las vías legales correspondientes.</w:t>
      </w:r>
    </w:p>
    <w:p>
      <w:r>
        <w:br w:type="page"/>
      </w:r>
    </w:p>
    <w:p>
      <w:pPr>
        <w:pStyle w:val="Heading1"/>
      </w:pPr>
      <w:r>
        <w:t xml:space="preserve">Tabla de Contenido</w:t>
      </w:r>
    </w:p>
    <w:sdt>
      <w:sdtPr>
        <w:alias w:val="Tabla de Contenido"/>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1. Introducción y Alcance de esta Guía</w:t>
      </w:r>
    </w:p>
    <w:p>
      <w:pPr>
        <w:spacing w:after="160"/>
      </w:pPr>
      <w:r>
        <w:t xml:space="preserve">Cuando se habla de “cuentas espejo”, mucha gente imagina algo turbio. En realidad, el término se usa de forma muy distinta según el contexto:</w:t>
      </w:r>
    </w:p>
    <w:p>
      <w:pPr>
        <w:pStyle w:val="ListParagraph"/>
        <w:numPr>
          <w:ilvl w:val="0"/>
          <w:numId w:val="2"/>
        </w:numPr>
        <w:spacing w:after="80"/>
      </w:pPr>
      <w:r>
        <w:rPr>
          <w:b/>
          <w:bCs/>
        </w:rPr>
        <w:t xml:space="preserve">Uso legítimo y común en banca corporativa: </w:t>
      </w:r>
      <w:r>
        <w:t xml:space="preserve">una cuenta secundaria, en el mismo banco o en otro, que refleja o respalda la operación de la cuenta principal — por ejemplo, una cuenta concentradora y varias cuentas espejo por sucursal, o una cuenta en otra divisa vinculada a la cuenta principal.</w:t>
      </w:r>
    </w:p>
    <w:p>
      <w:pPr>
        <w:pStyle w:val="ListParagraph"/>
        <w:numPr>
          <w:ilvl w:val="0"/>
          <w:numId w:val="2"/>
        </w:numPr>
        <w:spacing w:after="80"/>
      </w:pPr>
      <w:r>
        <w:rPr>
          <w:b/>
          <w:bCs/>
        </w:rPr>
        <w:t xml:space="preserve">Uso como sinónimo de diversificación bancaria: </w:t>
      </w:r>
      <w:r>
        <w:t xml:space="preserve">tener más de una cuenta, en más de una institución (y a veces en más de un país), para no depender de un solo banco si hay una falla operativa, un bloqueo temporal o un cierre de cuenta.</w:t>
      </w:r>
    </w:p>
    <w:p>
      <w:pPr>
        <w:pStyle w:val="ListParagraph"/>
        <w:numPr>
          <w:ilvl w:val="0"/>
          <w:numId w:val="2"/>
        </w:numPr>
        <w:spacing w:after="80"/>
      </w:pPr>
      <w:r>
        <w:rPr>
          <w:b/>
          <w:bCs/>
        </w:rPr>
        <w:t xml:space="preserve">Uso indebido (y lo que esta guía NO cubre): </w:t>
      </w:r>
      <w:r>
        <w:t xml:space="preserve">estructuras pensadas para fragmentar fondos, ocultar al beneficiario real o mover dinero para evitar que una autoridad pueda rastrearlo o ejecutar una orden de aseguramiento legítima. Eso entra en el terreno de operaciones con recursos de procedencia ilícita y tiene consecuencias penales.</w:t>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Distinción clave: </w:t>
      </w:r>
      <w:r>
        <w:t xml:space="preserve">Diversificar bancos para tener continuidad operativa ante una falla técnica o un bloqueo por error administrativo es una práctica normal de gestión de riesgo. Mover o fragmentar fondos específicamente para que una autoridad no pueda asegurarlos es un delito. Esta guía se enfoca en lo primero.</w:t>
      </w:r>
    </w:p>
    <w:p>
      <w:pPr>
        <w:pStyle w:val="Heading1"/>
      </w:pPr>
      <w:r>
        <w:t xml:space="preserve">2. ¿Qué es una Cuenta Espejo? (Uso Legítimo)</w:t>
      </w:r>
    </w:p>
    <w:p>
      <w:pPr>
        <w:pStyle w:val="Heading2"/>
      </w:pPr>
      <w:r>
        <w:t xml:space="preserve">2.1 En banca corporativa y tesorería</w:t>
      </w:r>
    </w:p>
    <w:p>
      <w:pPr>
        <w:spacing w:after="160"/>
      </w:pPr>
      <w:r>
        <w:t xml:space="preserve">En el mundo de tesorería empresarial, una cuenta espejo (o “cuenta refleja”) suele ser una cuenta secundaria vinculada operativamente a una cuenta principal, usada para:</w:t>
      </w:r>
    </w:p>
    <w:p>
      <w:pPr>
        <w:pStyle w:val="ListParagraph"/>
        <w:numPr>
          <w:ilvl w:val="0"/>
          <w:numId w:val="2"/>
        </w:numPr>
        <w:spacing w:after="80"/>
      </w:pPr>
      <w:r>
        <w:rPr>
          <w:b/>
          <w:bCs/>
        </w:rPr>
        <w:t xml:space="preserve">Concentración de fondos (cash pooling): </w:t>
      </w:r>
      <w:r>
        <w:t xml:space="preserve">varias sucursales o unidades de negocio depositan en cuentas locales que se barren automáticamente a una cuenta concentradora.</w:t>
      </w:r>
    </w:p>
    <w:p>
      <w:pPr>
        <w:pStyle w:val="ListParagraph"/>
        <w:numPr>
          <w:ilvl w:val="0"/>
          <w:numId w:val="2"/>
        </w:numPr>
        <w:spacing w:after="80"/>
      </w:pPr>
      <w:r>
        <w:rPr>
          <w:b/>
          <w:bCs/>
        </w:rPr>
        <w:t xml:space="preserve">Operar en distintas divisas: </w:t>
      </w:r>
      <w:r>
        <w:t xml:space="preserve">una cuenta en pesos y una cuenta espejo en dólares o euros dentro del mismo banco, para recibir y pagar en la moneda que corresponda sin conversiones constantes.</w:t>
      </w:r>
    </w:p>
    <w:p>
      <w:pPr>
        <w:pStyle w:val="ListParagraph"/>
        <w:numPr>
          <w:ilvl w:val="0"/>
          <w:numId w:val="2"/>
        </w:numPr>
        <w:spacing w:after="80"/>
      </w:pPr>
      <w:r>
        <w:rPr>
          <w:b/>
          <w:bCs/>
        </w:rPr>
        <w:t xml:space="preserve">Separar flujos contables: </w:t>
      </w:r>
      <w:r>
        <w:t xml:space="preserve">una cuenta espejo dedicada a nómina, otra a proveedores, otra a impuestos, todas vinculadas a la cuenta madre para control interno.</w:t>
      </w:r>
    </w:p>
    <w:p>
      <w:pPr>
        <w:pStyle w:val="Heading2"/>
      </w:pPr>
      <w:r>
        <w:t xml:space="preserve">2.2 Como sinónimo de “cuenta de respaldo”</w:t>
      </w:r>
    </w:p>
    <w:p>
      <w:pPr>
        <w:spacing w:after="160"/>
      </w:pPr>
      <w:r>
        <w:t xml:space="preserve">Fuera de la jerga de tesorería, mucha gente usa “cuenta espejo” simplemente para describir una segunda cuenta — en otro banco o incluso otro país — que sirve como respaldo operativo si la cuenta principal queda inaccesible por cualquier motivo: falla del banco, robo de identidad, error administrativo o un bloqueo en proceso de revisión.</w:t>
      </w:r>
    </w:p>
    <w:p>
      <w:pPr>
        <w:spacing w:after="160"/>
      </w:pPr>
      <w:r>
        <w:t xml:space="preserve">Esto es, en esencia, diversificación bancaria, un principio básico de manejo de riesgo financiero tanto para personas físicas como para empresas.</w:t>
      </w:r>
    </w:p>
    <w:p>
      <w:pPr>
        <w:pStyle w:val="Heading1"/>
      </w:pPr>
      <w:r>
        <w:t xml:space="preserve">3. ¿Por Qué se Bloquea una Cuenta en México?</w:t>
      </w:r>
    </w:p>
    <w:p>
      <w:pPr>
        <w:spacing w:after="160"/>
      </w:pPr>
      <w:r>
        <w:t xml:space="preserve">Entender las causas reales de un bloqueo ayuda a saber qué tipo de “respaldo” tiene sentido y qué tipo de medida sería inútil o incluso contraproducente (porque el bloqueo busca precisamente impedir el movimiento de esos fondos).</w:t>
      </w:r>
    </w:p>
    <w:p>
      <w:pPr>
        <w:pStyle w:val="Heading2"/>
      </w:pPr>
      <w:r>
        <w:t xml:space="preserve">3.1 Principales causas de bloqueo o aseguramiento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360"/>
        <w:gridCol w:w="3000"/>
      </w:tblGrid>
      <w:tr>
        <w:tc>
          <w:tcPr>
            <w:tcW w:type="dxa" w:w="300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Causa</w:t>
            </w:r>
          </w:p>
        </w:tc>
        <w:tc>
          <w:tcPr>
            <w:tcW w:type="dxa" w:w="336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Autoridad / fundamento</w:t>
            </w:r>
          </w:p>
        </w:tc>
        <w:tc>
          <w:tcPr>
            <w:tcW w:type="dxa" w:w="300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Naturaleza</w:t>
            </w:r>
          </w:p>
        </w:tc>
      </w:tr>
      <w:tr>
        <w:tc>
          <w:tcPr>
            <w:tcW w:type="dxa" w:w="30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Operaciones con recursos de procedencia ilícita / lista de personas bloqueadas</w:t>
            </w:r>
          </w:p>
        </w:tc>
        <w:tc>
          <w:tcPr>
            <w:tcW w:type="dxa" w:w="336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UIF (Unidad de Inteligencia Financiera), con base en la Ley Antilavado (LFPIORPI)</w:t>
            </w:r>
          </w:p>
        </w:tc>
        <w:tc>
          <w:tcPr>
            <w:tcW w:type="dxa" w:w="30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Administrativa, publicada en el DOF</w:t>
            </w:r>
          </w:p>
        </w:tc>
      </w:tr>
      <w:tr>
        <w:tc>
          <w:tcPr>
            <w:tcW w:type="dxa" w:w="30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Créditos fiscales firmes o discrepancia fiscal grave</w:t>
            </w:r>
          </w:p>
        </w:tc>
        <w:tc>
          <w:tcPr>
            <w:tcW w:type="dxa" w:w="336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SAT, conforme al Código Fiscal de la Federación</w:t>
            </w:r>
          </w:p>
        </w:tc>
        <w:tc>
          <w:tcPr>
            <w:tcW w:type="dxa" w:w="30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Administrativa</w:t>
            </w:r>
          </w:p>
        </w:tc>
      </w:tr>
      <w:tr>
        <w:tc>
          <w:tcPr>
            <w:tcW w:type="dxa" w:w="30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Investigación penal en curso</w:t>
            </w:r>
          </w:p>
        </w:tc>
        <w:tc>
          <w:tcPr>
            <w:tcW w:type="dxa" w:w="336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Juez, conforme al Código Nacional de Procedimientos Penales (medida cautelar)</w:t>
            </w:r>
          </w:p>
        </w:tc>
        <w:tc>
          <w:tcPr>
            <w:tcW w:type="dxa" w:w="30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Judicial</w:t>
            </w:r>
          </w:p>
        </w:tc>
      </w:tr>
      <w:tr>
        <w:tc>
          <w:tcPr>
            <w:tcW w:type="dxa" w:w="30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Sospecha de fraude o suplantación de identidad</w:t>
            </w:r>
          </w:p>
        </w:tc>
        <w:tc>
          <w:tcPr>
            <w:tcW w:type="dxa" w:w="336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El propio banco, de forma preventiva, conforme a sus políticas internas</w:t>
            </w:r>
          </w:p>
        </w:tc>
        <w:tc>
          <w:tcPr>
            <w:tcW w:type="dxa" w:w="30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Contractual / preventiva</w:t>
            </w:r>
          </w:p>
        </w:tc>
      </w:tr>
    </w:tbl>
    <w:p>
      <w:pPr>
        <w:spacing w:after="160"/>
      </w:pPr>
      <w:r>
        <w:t xml:space="preserve"/>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Dato relevante (2026): </w:t>
      </w:r>
      <w:r>
        <w:t xml:space="preserve">La Suprema Corte de Justicia de la Nación confirmó en 2026 que las autoridades pueden bloquear cuentas de forma inmediata sin orden judicial previa en casos de presunción de recursos de procedencia ilícita, siempre que se notifique al afectado para que ejerza su derecho de audiencia posteriormente. El SAT, por su parte, ha intensificado los bloqueos masivos por discrepancia fiscal y créditos firmes no garantizados.</w:t>
      </w:r>
    </w:p>
    <w:p>
      <w:pPr>
        <w:pStyle w:val="Heading2"/>
      </w:pPr>
      <w:r>
        <w:t xml:space="preserve">3.2 Vías legales para resolver un bloqueo (no para evadirlo)</w:t>
      </w:r>
    </w:p>
    <w:p>
      <w:pPr>
        <w:pStyle w:val="ListParagraph"/>
        <w:numPr>
          <w:ilvl w:val="0"/>
          <w:numId w:val="2"/>
        </w:numPr>
        <w:spacing w:after="80"/>
      </w:pPr>
      <w:r>
        <w:rPr>
          <w:b/>
          <w:bCs/>
        </w:rPr>
        <w:t xml:space="preserve">Solicitar por escrito al banco </w:t>
      </w:r>
      <w:r>
        <w:t xml:space="preserve">el motivo y el folio del oficio de bloqueo (los bancos están obligados a informar qué autoridad lo ordenó).</w:t>
      </w:r>
    </w:p>
    <w:p>
      <w:pPr>
        <w:pStyle w:val="ListParagraph"/>
        <w:numPr>
          <w:ilvl w:val="0"/>
          <w:numId w:val="2"/>
        </w:numPr>
        <w:spacing w:after="80"/>
      </w:pPr>
      <w:r>
        <w:rPr>
          <w:b/>
          <w:bCs/>
        </w:rPr>
        <w:t xml:space="preserve">Dar seguimiento ante la autoridad correspondiente </w:t>
      </w:r>
      <w:r>
        <w:t xml:space="preserve">(UIF, SAT o juzgado), no ante la sucursal — el banco solo ejecuta la orden, no la puede levantar por su cuenta.</w:t>
      </w:r>
    </w:p>
    <w:p>
      <w:pPr>
        <w:pStyle w:val="ListParagraph"/>
        <w:numPr>
          <w:ilvl w:val="0"/>
          <w:numId w:val="2"/>
        </w:numPr>
        <w:spacing w:after="80"/>
      </w:pPr>
      <w:r>
        <w:rPr>
          <w:b/>
          <w:bCs/>
        </w:rPr>
        <w:t xml:space="preserve">Pagar o garantizar el adeudo </w:t>
      </w:r>
      <w:r>
        <w:t xml:space="preserve">(en casos fiscales) mediante depósito, fianza, prenda o hipoteca, según lo permita la ley.</w:t>
      </w:r>
    </w:p>
    <w:p>
      <w:pPr>
        <w:pStyle w:val="ListParagraph"/>
        <w:numPr>
          <w:ilvl w:val="0"/>
          <w:numId w:val="2"/>
        </w:numPr>
        <w:spacing w:after="80"/>
      </w:pPr>
      <w:r>
        <w:rPr>
          <w:b/>
          <w:bCs/>
        </w:rPr>
        <w:t xml:space="preserve">Acudir a PRODECON </w:t>
      </w:r>
      <w:r>
        <w:t xml:space="preserve">si el bloqueo afecta cuentas de nómina, sueldos o pensiones, que tienen protección especial bajo la legislación laboral.</w:t>
      </w:r>
    </w:p>
    <w:p>
      <w:pPr>
        <w:pStyle w:val="ListParagraph"/>
        <w:numPr>
          <w:ilvl w:val="0"/>
          <w:numId w:val="2"/>
        </w:numPr>
        <w:spacing w:after="80"/>
      </w:pPr>
      <w:r>
        <w:rPr>
          <w:b/>
          <w:bCs/>
        </w:rPr>
        <w:t xml:space="preserve">Promover un juicio de amparo </w:t>
      </w:r>
      <w:r>
        <w:t xml:space="preserve">si se considera que el aseguramiento fue indebido o desproporcionado.</w:t>
      </w:r>
    </w:p>
    <w:p>
      <w:pPr>
        <w:pStyle w:val="ListParagraph"/>
        <w:numPr>
          <w:ilvl w:val="0"/>
          <w:numId w:val="2"/>
        </w:numPr>
        <w:spacing w:after="80"/>
      </w:pPr>
      <w:r>
        <w:rPr>
          <w:b/>
          <w:bCs/>
        </w:rPr>
        <w:t xml:space="preserve">Acudir a CONDUSEF </w:t>
      </w:r>
      <w:r>
        <w:t xml:space="preserve">si el bloqueo proviene de una decisión unilateral del banco y no de una autoridad externa.</w:t>
      </w:r>
    </w:p>
    <w:p>
      <w:pPr>
        <w:pStyle w:val="Heading1"/>
      </w:pPr>
      <w:r>
        <w:t xml:space="preserve">4. Diversificación Bancaria como Estrategia de Continuidad</w:t>
      </w:r>
    </w:p>
    <w:p>
      <w:pPr>
        <w:spacing w:after="160"/>
      </w:pPr>
      <w:r>
        <w:t xml:space="preserve">La forma legítima de “respaldarse” ante el riesgo de que una cuenta quede temporalmente inaccesible (por error bancario, falla de sistema, robo de identidad o mientras se resuelve una aclaración) es la diversificación bancaria — no para mover fondos que ya están bajo investigación, sino como práctica general de manejo de riesgo financiero.</w:t>
      </w:r>
    </w:p>
    <w:p>
      <w:pPr>
        <w:pStyle w:val="Heading2"/>
      </w:pPr>
      <w:r>
        <w:t xml:space="preserve">4.1 Para personas físicas</w:t>
      </w:r>
    </w:p>
    <w:p>
      <w:pPr>
        <w:pStyle w:val="ListParagraph"/>
        <w:numPr>
          <w:ilvl w:val="0"/>
          <w:numId w:val="2"/>
        </w:numPr>
        <w:spacing w:after="80"/>
      </w:pPr>
      <w:r>
        <w:rPr>
          <w:b/>
          <w:bCs/>
        </w:rPr>
        <w:t xml:space="preserve">Más de un banco para el día a día: </w:t>
      </w:r>
      <w:r>
        <w:t xml:space="preserve">cuenta de nómina o gasto corriente en una institución, ahorro o reserva en otra distinta.</w:t>
      </w:r>
    </w:p>
    <w:p>
      <w:pPr>
        <w:pStyle w:val="ListParagraph"/>
        <w:numPr>
          <w:ilvl w:val="0"/>
          <w:numId w:val="2"/>
        </w:numPr>
        <w:spacing w:after="80"/>
      </w:pPr>
      <w:r>
        <w:rPr>
          <w:b/>
          <w:bCs/>
        </w:rPr>
        <w:t xml:space="preserve">Diversificación por tipo de institución: </w:t>
      </w:r>
      <w:r>
        <w:t xml:space="preserve">banca tradicional, fintech regulada (con CNBV) y, en algunos casos, una cooperativa o caja de ahorro regulada.</w:t>
      </w:r>
    </w:p>
    <w:p>
      <w:pPr>
        <w:pStyle w:val="ListParagraph"/>
        <w:numPr>
          <w:ilvl w:val="0"/>
          <w:numId w:val="2"/>
        </w:numPr>
        <w:spacing w:after="80"/>
      </w:pPr>
      <w:r>
        <w:rPr>
          <w:b/>
          <w:bCs/>
        </w:rPr>
        <w:t xml:space="preserve">Acceso a efectivo de respaldo: </w:t>
      </w:r>
      <w:r>
        <w:t xml:space="preserve">mantener una reserva mínima de liquidez fuera del sistema bancario para gastos inmediatos (esto es prudencia financiera básica, no evasión).</w:t>
      </w:r>
    </w:p>
    <w:p>
      <w:pPr>
        <w:pStyle w:val="Heading2"/>
      </w:pPr>
      <w:r>
        <w:t xml:space="preserve">4.2 Para empresas</w:t>
      </w:r>
    </w:p>
    <w:p>
      <w:pPr>
        <w:pStyle w:val="ListParagraph"/>
        <w:numPr>
          <w:ilvl w:val="0"/>
          <w:numId w:val="2"/>
        </w:numPr>
        <w:spacing w:after="80"/>
      </w:pPr>
      <w:r>
        <w:rPr>
          <w:b/>
          <w:bCs/>
        </w:rPr>
        <w:t xml:space="preserve">Multibanca operativa: </w:t>
      </w:r>
      <w:r>
        <w:t xml:space="preserve">cuenta principal de operación en un banco, cuenta de nómina en otro, línea de crédito o reserva en un tercero — práctica estándar de tesorería corporativa.</w:t>
      </w:r>
    </w:p>
    <w:p>
      <w:pPr>
        <w:pStyle w:val="ListParagraph"/>
        <w:numPr>
          <w:ilvl w:val="0"/>
          <w:numId w:val="2"/>
        </w:numPr>
        <w:spacing w:after="80"/>
      </w:pPr>
      <w:r>
        <w:rPr>
          <w:b/>
          <w:bCs/>
        </w:rPr>
        <w:t xml:space="preserve">Separación entre cuentas operativas y patrimoniales: </w:t>
      </w:r>
      <w:r>
        <w:t xml:space="preserve">no mezclar la cuenta donde se reciben ingresos del negocio con la cuenta donde se resguarda capital o utilidades retenidas.</w:t>
      </w:r>
    </w:p>
    <w:p>
      <w:pPr>
        <w:pStyle w:val="ListParagraph"/>
        <w:numPr>
          <w:ilvl w:val="0"/>
          <w:numId w:val="2"/>
        </w:numPr>
        <w:spacing w:after="80"/>
      </w:pPr>
      <w:r>
        <w:rPr>
          <w:b/>
          <w:bCs/>
        </w:rPr>
        <w:t xml:space="preserve">Pólizas y respaldo documental sólido: </w:t>
      </w:r>
      <w:r>
        <w:t xml:space="preserve">la mejor protección real ante un bloqueo no es tener “más cuentas”, sino tener contabilidad, facturación y CFDI en orden para poder acreditar el origen lícito de los recursos rápidamente si la autoridad lo solicita.</w:t>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Por qué importa el orden contable: </w:t>
      </w:r>
      <w:r>
        <w:t xml:space="preserve">La mayoría de los bloqueos por discrepancia fiscal se originan porque los depósitos no coinciden con lo declarado. Ninguna cuenta de respaldo evita un bloqueo si el problema de fondo es contable; la prevención real está en la conciliación fiscal, no en la multiplicación de cuentas.</w:t>
      </w:r>
    </w:p>
    <w:p>
      <w:pPr>
        <w:pStyle w:val="Heading1"/>
      </w:pPr>
      <w:r>
        <w:t xml:space="preserve">5. Cuentas en el Extranjero: Consideraciones Internacionales</w:t>
      </w:r>
    </w:p>
    <w:p>
      <w:pPr>
        <w:spacing w:after="160"/>
      </w:pPr>
      <w:r>
        <w:t xml:space="preserve">Abrir una cuenta fuera de México es legal y común entre empresas con operación internacional o personas con ingresos en otra divisa. Pero conlleva obligaciones de transparencia fiscal que no desaparecen por estar la cuenta en otro país.</w:t>
      </w:r>
    </w:p>
    <w:p>
      <w:pPr>
        <w:pStyle w:val="Heading2"/>
      </w:pPr>
      <w:r>
        <w:t xml:space="preserve">5.1 Obligaciones de transparencia que debes conocer</w:t>
      </w:r>
    </w:p>
    <w:p>
      <w:pPr>
        <w:pStyle w:val="ListParagraph"/>
        <w:numPr>
          <w:ilvl w:val="0"/>
          <w:numId w:val="2"/>
        </w:numPr>
        <w:spacing w:after="80"/>
      </w:pPr>
      <w:r>
        <w:rPr>
          <w:b/>
          <w:bCs/>
        </w:rPr>
        <w:t xml:space="preserve">FATCA (Foreign Account Tax Compliance Act): </w:t>
      </w:r>
      <w:r>
        <w:t xml:space="preserve">obliga a bancos de casi todo el mundo a reportar al IRS de EE. UU. las cuentas de personas con vínculo fiscal estadounidense (ciudadanía, residencia o green card).</w:t>
      </w:r>
    </w:p>
    <w:p>
      <w:pPr>
        <w:pStyle w:val="ListParagraph"/>
        <w:numPr>
          <w:ilvl w:val="0"/>
          <w:numId w:val="2"/>
        </w:numPr>
        <w:spacing w:after="80"/>
      </w:pPr>
      <w:r>
        <w:rPr>
          <w:b/>
          <w:bCs/>
        </w:rPr>
        <w:t xml:space="preserve">CRS (Common Reporting Standard / OCDE): </w:t>
      </w:r>
      <w:r>
        <w:t xml:space="preserve">más de 100 países, incluido México, intercambian automáticamente información de cuentas de no residentes entre sus autoridades fiscales. Una cuenta en Europa o el Caribe abierta por un mexicano residente fiscal en México será reportada al SAT.</w:t>
      </w:r>
    </w:p>
    <w:p>
      <w:pPr>
        <w:pStyle w:val="ListParagraph"/>
        <w:numPr>
          <w:ilvl w:val="0"/>
          <w:numId w:val="2"/>
        </w:numPr>
        <w:spacing w:after="80"/>
      </w:pPr>
      <w:r>
        <w:rPr>
          <w:b/>
          <w:bCs/>
        </w:rPr>
        <w:t xml:space="preserve">Declaración de cuentas en el extranjero ante el SAT: </w:t>
      </w:r>
      <w:r>
        <w:t xml:space="preserve">las personas físicas y morales residentes en México deben declarar ingresos e inversiones en el extranjero; el SAT ya recibe esta información por CRS, por lo que no declararla es un riesgo, no una protección.</w:t>
      </w:r>
    </w:p>
    <w:p>
      <w:pPr>
        <w:pBdr>
          <w:top w:val="single" w:color="9C2B2B" w:sz="6" w:space="8"/>
          <w:left w:val="single" w:color="9C2B2B" w:sz="6" w:space="8"/>
          <w:bottom w:val="single" w:color="9C2B2B" w:sz="6" w:space="8"/>
          <w:right w:val="single" w:color="9C2B2B" w:sz="6" w:space="8"/>
        </w:pBdr>
        <w:shd w:fill="FBEAEA" w:val="clear"/>
        <w:spacing w:after="200" w:before="120"/>
      </w:pPr>
      <w:r>
        <w:rPr>
          <w:b/>
          <w:bCs/>
          <w:color w:val="9C2B2B"/>
        </w:rPr>
        <w:t xml:space="preserve">Idea central: </w:t>
      </w:r>
      <w:r>
        <w:t xml:space="preserve">Una cuenta en el extranjero no es invisible para el SAT. El intercambio automático de información (CRS) significa que abrir una cuenta fuera del país sin declararla no oculta nada — solo añade un riesgo de incumplimiento fiscal adicional al patrimonio que se quería proteger.</w:t>
      </w:r>
    </w:p>
    <w:p>
      <w:pPr>
        <w:pStyle w:val="Heading2"/>
      </w:pPr>
      <w:r>
        <w:t xml:space="preserve">5.2 Razones legítimas para tener cuentas en distintos países</w:t>
      </w:r>
    </w:p>
    <w:p>
      <w:pPr>
        <w:pStyle w:val="ListParagraph"/>
        <w:numPr>
          <w:ilvl w:val="0"/>
          <w:numId w:val="2"/>
        </w:numPr>
        <w:spacing w:after="80"/>
      </w:pPr>
      <w:r>
        <w:rPr>
          <w:b/>
          <w:bCs/>
        </w:rPr>
        <w:t xml:space="preserve">Operación real en ese mercado: </w:t>
      </w:r>
      <w:r>
        <w:t xml:space="preserve">ventas, proveedores o nómina en otra moneda o jurisdicción.</w:t>
      </w:r>
    </w:p>
    <w:p>
      <w:pPr>
        <w:pStyle w:val="ListParagraph"/>
        <w:numPr>
          <w:ilvl w:val="0"/>
          <w:numId w:val="2"/>
        </w:numPr>
        <w:spacing w:after="80"/>
      </w:pPr>
      <w:r>
        <w:rPr>
          <w:b/>
          <w:bCs/>
        </w:rPr>
        <w:t xml:space="preserve">Cobro de plataformas o clientes extranjeros </w:t>
      </w:r>
      <w:r>
        <w:t xml:space="preserve">que requieren cuenta local o en dólares/euros.</w:t>
      </w:r>
    </w:p>
    <w:p>
      <w:pPr>
        <w:pStyle w:val="ListParagraph"/>
        <w:numPr>
          <w:ilvl w:val="0"/>
          <w:numId w:val="2"/>
        </w:numPr>
        <w:spacing w:after="80"/>
      </w:pPr>
      <w:r>
        <w:rPr>
          <w:b/>
          <w:bCs/>
        </w:rPr>
        <w:t xml:space="preserve">Diversificación de riesgo país: </w:t>
      </w:r>
      <w:r>
        <w:t xml:space="preserve">no depender 100% de la estabilidad de un solo sistema bancario, algo común en tesorería corporativa multinacional.</w:t>
      </w:r>
    </w:p>
    <w:p>
      <w:pPr>
        <w:pStyle w:val="ListParagraph"/>
        <w:numPr>
          <w:ilvl w:val="0"/>
          <w:numId w:val="2"/>
        </w:numPr>
        <w:spacing w:after="80"/>
      </w:pPr>
      <w:r>
        <w:rPr>
          <w:b/>
          <w:bCs/>
        </w:rPr>
        <w:t xml:space="preserve">Residencia, estudio o trabajo en el extranjero </w:t>
      </w:r>
      <w:r>
        <w:t xml:space="preserve">de algún socio, directivo o familiar.</w:t>
      </w:r>
    </w:p>
    <w:p>
      <w:pPr>
        <w:pStyle w:val="Heading2"/>
      </w:pPr>
      <w:r>
        <w:t xml:space="preserve">5.3 Señales de alerta que generan más escrutinio, no menos</w:t>
      </w:r>
    </w:p>
    <w:p>
      <w:pPr>
        <w:pStyle w:val="ListParagraph"/>
        <w:numPr>
          <w:ilvl w:val="0"/>
          <w:numId w:val="2"/>
        </w:numPr>
        <w:spacing w:after="80"/>
      </w:pPr>
      <w:r>
        <w:t xml:space="preserve">Transferencias frecuentes entre cuentas propias en distintos países sin una operación comercial que las explique.</w:t>
      </w:r>
    </w:p>
    <w:p>
      <w:pPr>
        <w:pStyle w:val="ListParagraph"/>
        <w:numPr>
          <w:ilvl w:val="0"/>
          <w:numId w:val="2"/>
        </w:numPr>
        <w:spacing w:after="80"/>
      </w:pPr>
      <w:r>
        <w:t xml:space="preserve">Estructuras con empresas “pantalla” sin operación real, solo para recibir y reenviar fondos.</w:t>
      </w:r>
    </w:p>
    <w:p>
      <w:pPr>
        <w:pStyle w:val="ListParagraph"/>
        <w:numPr>
          <w:ilvl w:val="0"/>
          <w:numId w:val="2"/>
        </w:numPr>
        <w:spacing w:after="80"/>
      </w:pPr>
      <w:r>
        <w:t xml:space="preserve">Uso de jurisdicciones de baja o nula tributación sin sustancia económica (oficina, empleados, actividad real) en ese país.</w:t>
      </w:r>
    </w:p>
    <w:p>
      <w:pPr>
        <w:pStyle w:val="ListParagraph"/>
        <w:numPr>
          <w:ilvl w:val="0"/>
          <w:numId w:val="2"/>
        </w:numPr>
        <w:spacing w:after="80"/>
      </w:pPr>
      <w:r>
        <w:t xml:space="preserve">Fraccionar depósitos o transferencias para quedar por debajo de umbrales de reporte (“structuring”), lo cual es en sí mismo un delito en la mayoría de los países, independientemente del origen de los fondos.</w:t>
      </w:r>
    </w:p>
    <w:p>
      <w:pPr>
        <w:pStyle w:val="Heading1"/>
      </w:pPr>
      <w:r>
        <w:t xml:space="preserve">6. Lo que NO Funciona (ni Legalmente, ni en la Práctica)</w:t>
      </w:r>
    </w:p>
    <w:p>
      <w:pPr>
        <w:spacing w:after="160"/>
      </w:pPr>
      <w:r>
        <w:t xml:space="preserve">Es importante ser honesto sobre los límites de cualquier “estrategia de respaldo”:</w:t>
      </w:r>
    </w:p>
    <w:p>
      <w:pPr>
        <w:pStyle w:val="ListParagraph"/>
        <w:numPr>
          <w:ilvl w:val="0"/>
          <w:numId w:val="2"/>
        </w:numPr>
        <w:spacing w:after="80"/>
      </w:pPr>
      <w:r>
        <w:rPr>
          <w:b/>
          <w:bCs/>
        </w:rPr>
        <w:t xml:space="preserve">Mover fondos a otra cuenta una vez notificado un bloqueo o investigación: </w:t>
      </w:r>
      <w:r>
        <w:t xml:space="preserve">esto puede tipificarse como un acto adicional de obstrucción o, dependiendo del caso, reforzar la presunción de origen ilícito.</w:t>
      </w:r>
    </w:p>
    <w:p>
      <w:pPr>
        <w:pStyle w:val="ListParagraph"/>
        <w:numPr>
          <w:ilvl w:val="0"/>
          <w:numId w:val="2"/>
        </w:numPr>
        <w:spacing w:after="80"/>
      </w:pPr>
      <w:r>
        <w:rPr>
          <w:b/>
          <w:bCs/>
        </w:rPr>
        <w:t xml:space="preserve">Usar cuentas de terceros (familiares, empleados, “prestanombres”) </w:t>
      </w:r>
      <w:r>
        <w:t xml:space="preserve">para recibir o resguardar fondos propios: es una práctica de alto riesgo legal tanto para quien la pide como para quien presta su cuenta, y es exactamente el patrón que los sistemas de monitoreo antilavado están diseñados para detectar.</w:t>
      </w:r>
    </w:p>
    <w:p>
      <w:pPr>
        <w:pStyle w:val="ListParagraph"/>
        <w:numPr>
          <w:ilvl w:val="0"/>
          <w:numId w:val="2"/>
        </w:numPr>
        <w:spacing w:after="80"/>
      </w:pPr>
      <w:r>
        <w:rPr>
          <w:b/>
          <w:bCs/>
        </w:rPr>
        <w:t xml:space="preserve">Fragmentar depósitos para evitar reportes </w:t>
      </w:r>
      <w:r>
        <w:t xml:space="preserve">(operaciones relevantes o inusuales): constituye en sí mismo una conducta sancionable.</w:t>
      </w:r>
    </w:p>
    <w:p>
      <w:pPr>
        <w:pStyle w:val="ListParagraph"/>
        <w:numPr>
          <w:ilvl w:val="0"/>
          <w:numId w:val="2"/>
        </w:numPr>
        <w:spacing w:after="80"/>
      </w:pPr>
      <w:r>
        <w:rPr>
          <w:b/>
          <w:bCs/>
        </w:rPr>
        <w:t xml:space="preserve">Cuentas en jurisdicciones opacas sin operación real: </w:t>
      </w:r>
      <w:r>
        <w:t xml:space="preserve">cada vez más bancos corresponsales rechazan o cierran este tipo de cuentas por las mismas reglas de cumplimiento (KYC/AML) que aplican en México.</w:t>
      </w:r>
    </w:p>
    <w:p>
      <w:pPr>
        <w:pBdr>
          <w:top w:val="single" w:color="9C2B2B" w:sz="6" w:space="8"/>
          <w:left w:val="single" w:color="9C2B2B" w:sz="6" w:space="8"/>
          <w:bottom w:val="single" w:color="9C2B2B" w:sz="6" w:space="8"/>
          <w:right w:val="single" w:color="9C2B2B" w:sz="6" w:space="8"/>
        </w:pBdr>
        <w:shd w:fill="FBEAEA" w:val="clear"/>
        <w:spacing w:after="200" w:before="120"/>
      </w:pPr>
      <w:r>
        <w:rPr>
          <w:b/>
          <w:bCs/>
          <w:color w:val="9C2B2B"/>
        </w:rPr>
        <w:t xml:space="preserve">Conclusión honesta: </w:t>
      </w:r>
      <w:r>
        <w:t xml:space="preserve">No existe una estructura de cuentas que blinde fondos de procedencia cuestionable frente a una autoridad que ya inició una investigación. La única protección real y duradera es que el origen de los recursos sea lícito y esté documentado.</w:t>
      </w:r>
    </w:p>
    <w:p>
      <w:pPr>
        <w:pStyle w:val="Heading1"/>
      </w:pPr>
      <w:r>
        <w:t xml:space="preserve">7. Checklist de Buenas Prácticas</w:t>
      </w:r>
    </w:p>
    <w:p>
      <w:pPr>
        <w:spacing w:after="160"/>
      </w:pPr>
      <w:r>
        <w:t xml:space="preserve">Para personas físicas y empresas que buscan continuidad financiera real (no evasión) ante el riesgo de un bloqueo administrativo o una falla bancaria:</w:t>
      </w:r>
    </w:p>
    <w:p>
      <w:pPr>
        <w:pStyle w:val="ListParagraph"/>
        <w:numPr>
          <w:ilvl w:val="0"/>
          <w:numId w:val="3"/>
        </w:numPr>
        <w:spacing w:after="80"/>
      </w:pPr>
      <w:r>
        <w:t xml:space="preserve">Mantener cuentas en al menos dos instituciones financieras distintas, reguladas en México (CNBV).</w:t>
      </w:r>
    </w:p>
    <w:p>
      <w:pPr>
        <w:pStyle w:val="ListParagraph"/>
        <w:numPr>
          <w:ilvl w:val="0"/>
          <w:numId w:val="3"/>
        </w:numPr>
        <w:spacing w:after="80"/>
      </w:pPr>
      <w:r>
        <w:t xml:space="preserve">Separar cuentas operativas (ingresos del día a día) de cuentas patrimoniales (ahorro, reservas).</w:t>
      </w:r>
    </w:p>
    <w:p>
      <w:pPr>
        <w:pStyle w:val="ListParagraph"/>
        <w:numPr>
          <w:ilvl w:val="0"/>
          <w:numId w:val="3"/>
        </w:numPr>
        <w:spacing w:after="80"/>
      </w:pPr>
      <w:r>
        <w:t xml:space="preserve">Conservar CFDI, contratos y respaldo documental de cada depósito relevante, sobre todo si es inusual en monto.</w:t>
      </w:r>
    </w:p>
    <w:p>
      <w:pPr>
        <w:pStyle w:val="ListParagraph"/>
        <w:numPr>
          <w:ilvl w:val="0"/>
          <w:numId w:val="3"/>
        </w:numPr>
        <w:spacing w:after="80"/>
      </w:pPr>
      <w:r>
        <w:t xml:space="preserve">Conciliar regularmente los ingresos declarados ante el SAT contra los movimientos bancarios reales.</w:t>
      </w:r>
    </w:p>
    <w:p>
      <w:pPr>
        <w:pStyle w:val="ListParagraph"/>
        <w:numPr>
          <w:ilvl w:val="0"/>
          <w:numId w:val="3"/>
        </w:numPr>
        <w:spacing w:after="80"/>
      </w:pPr>
      <w:r>
        <w:t xml:space="preserve">Declarar cualquier cuenta en el extranjero ante el SAT si se es residente fiscal en México.</w:t>
      </w:r>
    </w:p>
    <w:p>
      <w:pPr>
        <w:pStyle w:val="ListParagraph"/>
        <w:numPr>
          <w:ilvl w:val="0"/>
          <w:numId w:val="3"/>
        </w:numPr>
        <w:spacing w:after="80"/>
      </w:pPr>
      <w:r>
        <w:t xml:space="preserve">Verificar que cualquier entidad financiera extranjera utilizada esté debidamente regulada en su país.</w:t>
      </w:r>
    </w:p>
    <w:p>
      <w:pPr>
        <w:pStyle w:val="ListParagraph"/>
        <w:numPr>
          <w:ilvl w:val="0"/>
          <w:numId w:val="3"/>
        </w:numPr>
        <w:spacing w:after="80"/>
      </w:pPr>
      <w:r>
        <w:t xml:space="preserve">Ante cualquier bloqueo, solicitar por escrito el motivo y folio, y acudir a la autoridad correspondiente (no intentar mover los fondos).</w:t>
      </w:r>
    </w:p>
    <w:p>
      <w:pPr>
        <w:pStyle w:val="ListParagraph"/>
        <w:numPr>
          <w:ilvl w:val="0"/>
          <w:numId w:val="3"/>
        </w:numPr>
        <w:spacing w:after="80"/>
      </w:pPr>
      <w:r>
        <w:t xml:space="preserve">Consultar a un contador y a un abogado fiscal antes de abrir estructuras con cuentas en múltiples países.</w:t>
      </w:r>
    </w:p>
    <w:p>
      <w:pPr>
        <w:pBdr>
          <w:bottom w:val="single" w:color="2E75B6" w:sz="6" w:space="1"/>
        </w:pBdr>
        <w:spacing w:after="240" w:before="80"/>
      </w:pPr>
      <w:r>
        <w:t xml:space="preserve"/>
      </w:r>
    </w:p>
    <w:p>
      <w:pPr>
        <w:pStyle w:val="Heading2"/>
      </w:pPr>
      <w:r>
        <w:t xml:space="preserve">Disclaimer</w:t>
      </w:r>
    </w:p>
    <w:p>
      <w:pPr>
        <w:spacing w:after="160"/>
      </w:pPr>
      <w:r>
        <w:rPr>
          <w:i/>
          <w:iCs/>
        </w:rPr>
        <w:t xml:space="preserve">Este documento tiene fines exclusivamente informativos y educativos sobre el funcionamiento de la banca múltiple, las causas legales de bloqueo de cuentas en México y las obligaciones de transparencia fiscal internacional (FATCA/CRS). No constituye asesoría legal, fiscal ni financiera, no debe interpretarse como una guía para evadir, ocultar u obstruir el cumplimiento de una orden de autoridad, y no crea relación abogado-cliente ni contador-cliente. Las leyes y criterios de las autoridades (SAT, CNBV, UIF, CONDUSEF, PRODECON) cambian con frecuencia; consulta siempre a un profesional calificado para tu caso específico.</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Página </w:t>
    </w:r>
    <w:r>
      <w:rPr>
        <w:color w:val="595959"/>
        <w:sz w:val="16"/>
        <w:szCs w:val="16"/>
      </w:rPr>
      <w:fldChar w:fldCharType="begin"/>
      <w:instrText xml:space="preserve">PAGE</w:instrText>
      <w:fldChar w:fldCharType="separate"/>
      <w:fldChar w:fldCharType="end"/>
    </w:r>
    <w:r>
      <w:rPr>
        <w:color w:val="595959"/>
        <w:sz w:val="16"/>
        <w:szCs w:val="16"/>
      </w:rPr>
      <w:t xml:space="preserve"> de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026"/>
      </w:tabs>
    </w:pPr>
    <w:r>
      <w:rPr>
        <w:color w:val="595959"/>
        <w:sz w:val="16"/>
        <w:szCs w:val="16"/>
      </w:rPr>
      <w:t xml:space="preserve">Cuentas Espejo y Continuidad Bancaria</w:t>
    </w:r>
    <w:r>
      <w:rPr>
        <w:color w:val="595959"/>
        <w:sz w:val="16"/>
        <w:szCs w:val="16"/>
      </w:rPr>
      <w:t xml:space="preserve">	Guía educativa — Uso informativo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8" w:space="4"/>
      </w:pBdr>
      <w:spacing w:after="240" w:before="48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320"/>
      <w:outlineLvl w:val="1"/>
    </w:pPr>
    <w:rPr>
      <w:rFonts w:ascii="Arial" w:cs="Arial" w:eastAsia="Arial" w:hAnsi="Arial"/>
      <w:b/>
      <w:bCs/>
      <w:color w:val="1F3864"/>
      <w:sz w:val="26"/>
      <w:szCs w:val="26"/>
    </w:rPr>
  </w:style>
  <w:style w:type="paragraph" w:styleId="Heading3">
    <w:name w:val="Heading 3"/>
    <w:basedOn w:val="Normal"/>
    <w:next w:val="Normal"/>
    <w:qFormat/>
    <w:pPr>
      <w:spacing w:after="120" w:before="220"/>
      <w:outlineLvl w:val="2"/>
    </w:pPr>
    <w:rPr>
      <w:rFonts w:ascii="Arial" w:cs="Arial" w:eastAsia="Arial" w:hAnsi="Arial"/>
      <w:b/>
      <w:bCs/>
      <w:color w:val="2E75B6"/>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2026-06-25T20:29:31.115Z</dcterms:created>
  <dcterms:modified xsi:type="dcterms:W3CDTF">2026-06-25T20:29:31.130Z</dcterms:modified>
</cp:coreProperties>
</file>

<file path=docProps/custom.xml><?xml version="1.0" encoding="utf-8"?>
<Properties xmlns="http://schemas.openxmlformats.org/officeDocument/2006/custom-properties" xmlns:vt="http://schemas.openxmlformats.org/officeDocument/2006/docPropsVTypes"/>
</file>