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600"/>
        <w:jc w:val="center"/>
      </w:pPr>
      <w:r>
        <w:rPr>
          <w:b/>
          <w:bCs/>
          <w:color w:val="1F3864"/>
          <w:sz w:val="48"/>
          <w:szCs w:val="48"/>
        </w:rPr>
        <w:t xml:space="preserve">GUÍA DE CLÁUSULAS ESENCIALES</w:t>
      </w:r>
    </w:p>
    <w:p>
      <w:pPr>
        <w:spacing w:after="80" w:before="120"/>
        <w:jc w:val="center"/>
      </w:pPr>
      <w:r>
        <w:rPr>
          <w:b/>
          <w:bCs/>
          <w:color w:val="2E75B6"/>
          <w:sz w:val="32"/>
          <w:szCs w:val="32"/>
        </w:rPr>
        <w:t xml:space="preserve">para Acuerdos entre Socios y Fundadores</w:t>
      </w:r>
    </w:p>
    <w:p>
      <w:pPr>
        <w:spacing w:after="1200" w:before="240"/>
        <w:jc w:val="center"/>
      </w:pPr>
      <w:r>
        <w:rPr>
          <w:i/>
          <w:iCs/>
          <w:color w:val="595959"/>
          <w:sz w:val="22"/>
          <w:szCs w:val="22"/>
        </w:rPr>
        <w:t xml:space="preserve">Lo que toda empresa o grupo de socios debe negociar y dejar por escrito antes de firmar</w:t>
      </w:r>
    </w:p>
    <w:p>
      <w:pPr>
        <w:pBdr>
          <w:top w:val="single" w:color="2E75B6" w:sz="6" w:space="8"/>
          <w:left w:val="single" w:color="2E75B6" w:sz="6" w:space="8"/>
          <w:bottom w:val="single" w:color="2E75B6" w:sz="6" w:space="8"/>
          <w:right w:val="single" w:color="2E75B6" w:sz="6" w:space="8"/>
        </w:pBdr>
        <w:shd w:fill="F2F7FC" w:val="clear"/>
        <w:spacing w:after="200" w:before="120"/>
      </w:pPr>
      <w:r>
        <w:rPr>
          <w:b/>
          <w:bCs/>
          <w:color w:val="1F3864"/>
        </w:rPr>
        <w:t xml:space="preserve">Importante: </w:t>
      </w:r>
      <w:r>
        <w:t xml:space="preserve">Este documento es una guía educativa e informativa. No constituye asesoría legal ni sustituye la revisión de un abogado corporativo y un contador en tu jurisdicción. Cada acuerdo societario debe adaptarse a las leyes locales (mercantiles, fiscales y laborales) del país donde se constituya la empresa.</w:t>
      </w:r>
    </w:p>
    <w:p>
      <w:r>
        <w:br w:type="page"/>
      </w:r>
    </w:p>
    <w:p>
      <w:pPr>
        <w:pStyle w:val="Heading1"/>
      </w:pPr>
      <w:r>
        <w:t xml:space="preserve">Tabla de Contenido</w:t>
      </w:r>
    </w:p>
    <w:sdt>
      <w:sdtPr>
        <w:alias w:val="Tabla de Contenido"/>
      </w:sdtPr>
      <w:sdtContent>
        <w:p>
          <w:r>
            <w:fldChar w:fldCharType="begin" w:dirty="true"/>
            <w:instrText xml:space="preserve">TOC \h \o "1-3"</w:instrText>
            <w:fldChar w:fldCharType="separate"/>
          </w:r>
        </w:p>
        <w:p>
          <w:r>
            <w:fldChar w:fldCharType="end"/>
          </w:r>
        </w:p>
      </w:sdtContent>
    </w:sdt>
    <w:p>
      <w:r>
        <w:br w:type="page"/>
      </w:r>
    </w:p>
    <w:p>
      <w:pPr>
        <w:pStyle w:val="Heading1"/>
      </w:pPr>
      <w:r>
        <w:t xml:space="preserve">1. Introducción</w:t>
      </w:r>
    </w:p>
    <w:p>
      <w:pPr>
        <w:spacing w:after="160"/>
      </w:pPr>
      <w:r>
        <w:t xml:space="preserve">La mayoría de los conflictos graves entre socios no surgen por mala fe, sino por no haber definido reglas claras desde el principio. Cuando el negocio va bien, casi nada de esto se discute; cuando hay tensión, dinero de por medio o alguien quiere salir, es cuando se nota qué tan bien (o mal) redactado estaba el acuerdo.</w:t>
      </w:r>
    </w:p>
    <w:p>
      <w:pPr>
        <w:spacing w:after="160"/>
      </w:pPr>
      <w:r>
        <w:t xml:space="preserve">Esta guía organiza las cláusulas que cualquier grupo de socios — sea una startup, una pyme familiar o una sociedad profesional — debería discutir y poner por escrito antes de firmar, idealmente en un convenio entre socios (“shareholders' agreement” o “acuerdo de socios”) y reflejado también en los estatutos sociales.</w:t>
      </w:r>
    </w:p>
    <w:p>
      <w:pPr>
        <w:pStyle w:val="ListParagraph"/>
        <w:numPr>
          <w:ilvl w:val="0"/>
          <w:numId w:val="2"/>
        </w:numPr>
        <w:spacing w:after="80"/>
      </w:pPr>
      <w:r>
        <w:rPr>
          <w:b/>
          <w:bCs/>
        </w:rPr>
        <w:t xml:space="preserve">Gobierno corporativo: </w:t>
      </w:r>
      <w:r>
        <w:t xml:space="preserve">quién decide qué, y con qué mayorías.</w:t>
      </w:r>
    </w:p>
    <w:p>
      <w:pPr>
        <w:pStyle w:val="ListParagraph"/>
        <w:numPr>
          <w:ilvl w:val="0"/>
          <w:numId w:val="2"/>
        </w:numPr>
        <w:spacing w:after="80"/>
      </w:pPr>
      <w:r>
        <w:rPr>
          <w:b/>
          <w:bCs/>
        </w:rPr>
        <w:t xml:space="preserve">Económicas: </w:t>
      </w:r>
      <w:r>
        <w:t xml:space="preserve">cómo se reparte la propiedad, el dinero y el riesgo.</w:t>
      </w:r>
    </w:p>
    <w:p>
      <w:pPr>
        <w:pStyle w:val="ListParagraph"/>
        <w:numPr>
          <w:ilvl w:val="0"/>
          <w:numId w:val="2"/>
        </w:numPr>
        <w:spacing w:after="80"/>
      </w:pPr>
      <w:r>
        <w:rPr>
          <w:b/>
          <w:bCs/>
        </w:rPr>
        <w:t xml:space="preserve">Permanencia y salida: </w:t>
      </w:r>
      <w:r>
        <w:t xml:space="preserve">qué pasa si alguien se va, se le aparta o quiere vender.</w:t>
      </w:r>
    </w:p>
    <w:p>
      <w:pPr>
        <w:pStyle w:val="ListParagraph"/>
        <w:numPr>
          <w:ilvl w:val="0"/>
          <w:numId w:val="2"/>
        </w:numPr>
        <w:spacing w:after="80"/>
      </w:pPr>
      <w:r>
        <w:rPr>
          <w:b/>
          <w:bCs/>
        </w:rPr>
        <w:t xml:space="preserve">Protección del negocio: </w:t>
      </w:r>
      <w:r>
        <w:t xml:space="preserve">confidencialidad, no competencia, propiedad intelectual.</w:t>
      </w:r>
    </w:p>
    <w:p>
      <w:pPr>
        <w:pStyle w:val="ListParagraph"/>
        <w:numPr>
          <w:ilvl w:val="0"/>
          <w:numId w:val="2"/>
        </w:numPr>
        <w:spacing w:after="80"/>
      </w:pPr>
      <w:r>
        <w:rPr>
          <w:b/>
          <w:bCs/>
        </w:rPr>
        <w:t xml:space="preserve">Resolución de conflictos: </w:t>
      </w:r>
      <w:r>
        <w:t xml:space="preserve">qué hacer cuando los socios no se ponen de acuerdo.</w:t>
      </w:r>
    </w:p>
    <w:p>
      <w:pPr>
        <w:pStyle w:val="Heading1"/>
      </w:pPr>
      <w:r>
        <w:t xml:space="preserve">2. Estructura Societaria y Propiedad (Cap Table)</w:t>
      </w:r>
    </w:p>
    <w:p>
      <w:pPr>
        <w:spacing w:after="160"/>
      </w:pPr>
      <w:r>
        <w:t xml:space="preserve">Antes de hablar de cláusulas legales, los socios deben tener absoluta claridad sobre quién es dueño de qué porcentaje y por qué.</w:t>
      </w:r>
    </w:p>
    <w:p>
      <w:pPr>
        <w:pStyle w:val="Heading2"/>
      </w:pPr>
      <w:r>
        <w:t xml:space="preserve">2.1 Distribución del capital (equity split)</w:t>
      </w:r>
    </w:p>
    <w:p>
      <w:pPr>
        <w:pStyle w:val="ListParagraph"/>
        <w:numPr>
          <w:ilvl w:val="0"/>
          <w:numId w:val="2"/>
        </w:numPr>
        <w:spacing w:after="80"/>
      </w:pPr>
      <w:r>
        <w:rPr>
          <w:b/>
          <w:bCs/>
        </w:rPr>
        <w:t xml:space="preserve">Porcentaje exacto de cada socio </w:t>
      </w:r>
      <w:r>
        <w:t xml:space="preserve">y la justificación (capital aportado, tiempo dedicado, experiencia, contactos, propiedad intelectual aportada).</w:t>
      </w:r>
    </w:p>
    <w:p>
      <w:pPr>
        <w:pStyle w:val="ListParagraph"/>
        <w:numPr>
          <w:ilvl w:val="0"/>
          <w:numId w:val="2"/>
        </w:numPr>
        <w:spacing w:after="80"/>
      </w:pPr>
      <w:r>
        <w:rPr>
          <w:b/>
          <w:bCs/>
        </w:rPr>
        <w:t xml:space="preserve">Tipo de aportación </w:t>
      </w:r>
      <w:r>
        <w:t xml:space="preserve">de cada socio: efectivo, trabajo (“sweat equity”), activos, propiedad intelectual, clientes o relaciones comerciales.</w:t>
      </w:r>
    </w:p>
    <w:p>
      <w:pPr>
        <w:pStyle w:val="ListParagraph"/>
        <w:numPr>
          <w:ilvl w:val="0"/>
          <w:numId w:val="2"/>
        </w:numPr>
        <w:spacing w:after="80"/>
      </w:pPr>
      <w:r>
        <w:rPr>
          <w:b/>
          <w:bCs/>
        </w:rPr>
        <w:t xml:space="preserve">Valuación inicial </w:t>
      </w:r>
      <w:r>
        <w:t xml:space="preserve">de la empresa al momento de repartir el capital, y cómo se llegó a ese número.</w:t>
      </w:r>
    </w:p>
    <w:p>
      <w:pPr>
        <w:pStyle w:val="ListParagraph"/>
        <w:numPr>
          <w:ilvl w:val="0"/>
          <w:numId w:val="2"/>
        </w:numPr>
        <w:spacing w:after="80"/>
      </w:pPr>
      <w:r>
        <w:rPr>
          <w:b/>
          <w:bCs/>
        </w:rPr>
        <w:t xml:space="preserve">Dilución futura: </w:t>
      </w:r>
      <w:r>
        <w:t xml:space="preserve">cómo se diluirán los porcentajes si entran nuevos socios o inversionistas, y si existen mecanismos anti-dilución para los fundadores.</w:t>
      </w:r>
    </w:p>
    <w:p>
      <w:pPr>
        <w:pStyle w:val="Heading2"/>
      </w:pPr>
      <w:r>
        <w:t xml:space="preserve">2.2 Tipos de acciones o participaciones</w:t>
      </w:r>
    </w:p>
    <w:p>
      <w:pPr>
        <w:pStyle w:val="ListParagraph"/>
        <w:numPr>
          <w:ilvl w:val="0"/>
          <w:numId w:val="2"/>
        </w:numPr>
        <w:spacing w:after="80"/>
      </w:pPr>
      <w:r>
        <w:rPr>
          <w:b/>
          <w:bCs/>
        </w:rPr>
        <w:t xml:space="preserve">Acciones ordinarias vs. preferentes </w:t>
      </w:r>
      <w:r>
        <w:t xml:space="preserve">(si aplica, especialmente con inversionistas): derechos de voto, de dividendo y de liquidación preferente.</w:t>
      </w:r>
    </w:p>
    <w:p>
      <w:pPr>
        <w:pStyle w:val="ListParagraph"/>
        <w:numPr>
          <w:ilvl w:val="0"/>
          <w:numId w:val="2"/>
        </w:numPr>
        <w:spacing w:after="80"/>
      </w:pPr>
      <w:r>
        <w:rPr>
          <w:b/>
          <w:bCs/>
        </w:rPr>
        <w:t xml:space="preserve">Derecho de voto por socio o por porcentaje </w:t>
      </w:r>
      <w:r>
        <w:t xml:space="preserve">de propiedad — no siempre son lo mismo.</w:t>
      </w:r>
    </w:p>
    <w:p>
      <w:pPr>
        <w:pStyle w:val="Heading1"/>
      </w:pPr>
      <w:r>
        <w:t xml:space="preserve">3. Vesting (Adquisición Progresiva de Acciones)</w:t>
      </w:r>
    </w:p>
    <w:p>
      <w:pPr>
        <w:spacing w:after="160"/>
      </w:pPr>
      <w:r>
        <w:t xml:space="preserve">El vesting es, junto con la cláusula de salida, una de las protecciones más importantes y más frecuentemente olvidadas entre socios fundadores. Su objetivo: nadie se queda con un porcentaje grande de la empresa si se va a los pocos meses.</w:t>
      </w:r>
    </w:p>
    <w:p>
      <w:pPr>
        <w:pStyle w:val="Heading2"/>
      </w:pPr>
      <w:r>
        <w:t xml:space="preserve">3.1 Elementos típicos de un esquema de vesting</w:t>
      </w:r>
    </w:p>
    <w:p>
      <w:pPr>
        <w:pStyle w:val="ListParagraph"/>
        <w:numPr>
          <w:ilvl w:val="0"/>
          <w:numId w:val="2"/>
        </w:numPr>
        <w:spacing w:after="80"/>
      </w:pPr>
      <w:r>
        <w:rPr>
          <w:b/>
          <w:bCs/>
        </w:rPr>
        <w:t xml:space="preserve">Periodo total de vesting: </w:t>
      </w:r>
      <w:r>
        <w:t xml:space="preserve">lo estándar en el ecosistema de startups es 4 años, aunque pymes y sociedades profesionales pueden usar plazos distintos.</w:t>
      </w:r>
    </w:p>
    <w:p>
      <w:pPr>
        <w:pStyle w:val="ListParagraph"/>
        <w:numPr>
          <w:ilvl w:val="0"/>
          <w:numId w:val="2"/>
        </w:numPr>
        <w:spacing w:after="80"/>
      </w:pPr>
      <w:r>
        <w:rPr>
          <w:b/>
          <w:bCs/>
        </w:rPr>
        <w:t xml:space="preserve">Cliff (periodo de carencia): </w:t>
      </w:r>
      <w:r>
        <w:t xml:space="preserve">normalmente 1 año. Si el socio se va antes de cumplir el cliff, no adquiere ningún porcentaje de su equity asignado.</w:t>
      </w:r>
    </w:p>
    <w:p>
      <w:pPr>
        <w:pStyle w:val="ListParagraph"/>
        <w:numPr>
          <w:ilvl w:val="0"/>
          <w:numId w:val="2"/>
        </w:numPr>
        <w:spacing w:after="80"/>
      </w:pPr>
      <w:r>
        <w:rPr>
          <w:b/>
          <w:bCs/>
        </w:rPr>
        <w:t xml:space="preserve">Vesting mensual o trimestral después del cliff: </w:t>
      </w:r>
      <w:r>
        <w:t xml:space="preserve">una vez superado el cliff, el resto del equity se adquiere de forma gradual (p. ej. mensualmente durante los 3 años restantes).</w:t>
      </w:r>
    </w:p>
    <w:p>
      <w:pPr>
        <w:pStyle w:val="ListParagraph"/>
        <w:numPr>
          <w:ilvl w:val="0"/>
          <w:numId w:val="2"/>
        </w:numPr>
        <w:spacing w:after="80"/>
      </w:pPr>
      <w:r>
        <w:rPr>
          <w:b/>
          <w:bCs/>
        </w:rPr>
        <w:t xml:space="preserve">Vesting acelerado (acceleration): </w:t>
      </w:r>
      <w:r>
        <w:t xml:space="preserve">qué pasa con las acciones no adquiridas si la empresa se vende o es adquirida (single trigger o double trigger).</w:t>
      </w:r>
    </w:p>
    <w:p>
      <w:pPr>
        <w:pStyle w:val="ListParagraph"/>
        <w:numPr>
          <w:ilvl w:val="0"/>
          <w:numId w:val="2"/>
        </w:numPr>
        <w:spacing w:after="80"/>
      </w:pPr>
      <w:r>
        <w:rPr>
          <w:b/>
          <w:bCs/>
        </w:rPr>
        <w:t xml:space="preserve">Acciones ya adquiridas vs. no adquiridas (“vested” vs. “unvested”) </w:t>
      </w:r>
      <w:r>
        <w:t xml:space="preserve">al momento de salida: las no adquiridas regresan a la empresa o se redistribuyen entre los socios que permanecen.</w:t>
      </w:r>
    </w:p>
    <w:p>
      <w:pPr>
        <w:pStyle w:val="Heading2"/>
      </w:pPr>
      <w:r>
        <w:t xml:space="preserve">3.2 Por qué importa</w:t>
      </w:r>
    </w:p>
    <w:p>
      <w:pPr>
        <w:spacing w:after="160"/>
      </w:pPr>
      <w:r>
        <w:t xml:space="preserve">Sin vesting, un socio que aporta una idea, recibe el 30% el primer día y se va a los dos meses se queda con ese 30% para siempre, mientras los demás siguen trabajando para hacer crecer una empresa que ya no construye junto a ellos.</w:t>
      </w:r>
    </w:p>
    <w:p>
      <w:pPr>
        <w:pStyle w:val="Heading1"/>
      </w:pPr>
      <w:r>
        <w:t xml:space="preserve">4. Gobierno Corporativo: ¿Quién Toma las Decisiones?</w:t>
      </w:r>
    </w:p>
    <w:p>
      <w:pPr>
        <w:spacing w:after="160"/>
      </w:pPr>
      <w:r>
        <w:t xml:space="preserve">Esta es, junto con la salida de socios, la fuente más común de conflicto. Debe quedar claro qué decisiones puede tomar una persona sola, cuáles requieren mayoría y cuáles requieren unanimidad.</w:t>
      </w:r>
    </w:p>
    <w:p>
      <w:pPr>
        <w:pStyle w:val="Heading2"/>
      </w:pPr>
      <w:r>
        <w:t xml:space="preserve">4.1 Roles y responsabilidades</w:t>
      </w:r>
    </w:p>
    <w:p>
      <w:pPr>
        <w:pStyle w:val="ListParagraph"/>
        <w:numPr>
          <w:ilvl w:val="0"/>
          <w:numId w:val="2"/>
        </w:numPr>
        <w:spacing w:after="80"/>
      </w:pPr>
      <w:r>
        <w:rPr>
          <w:b/>
          <w:bCs/>
        </w:rPr>
        <w:t xml:space="preserve">Roles ejecutivos: </w:t>
      </w:r>
      <w:r>
        <w:t xml:space="preserve">quién es CEO/director general, y qué autoridad tiene esa posición sobre el día a día.</w:t>
      </w:r>
    </w:p>
    <w:p>
      <w:pPr>
        <w:pStyle w:val="ListParagraph"/>
        <w:numPr>
          <w:ilvl w:val="0"/>
          <w:numId w:val="2"/>
        </w:numPr>
        <w:spacing w:after="80"/>
      </w:pPr>
      <w:r>
        <w:rPr>
          <w:b/>
          <w:bCs/>
        </w:rPr>
        <w:t xml:space="preserve">Funciones por socio: </w:t>
      </w:r>
      <w:r>
        <w:t xml:space="preserve">qué área opera cada socio (ventas, operación, producto, finanzas) y hasta dónde llega su autonomía.</w:t>
      </w:r>
    </w:p>
    <w:p>
      <w:pPr>
        <w:pStyle w:val="ListParagraph"/>
        <w:numPr>
          <w:ilvl w:val="0"/>
          <w:numId w:val="2"/>
        </w:numPr>
        <w:spacing w:after="80"/>
      </w:pPr>
      <w:r>
        <w:rPr>
          <w:b/>
          <w:bCs/>
        </w:rPr>
        <w:t xml:space="preserve">Dedicación de tiempo esperada </w:t>
      </w:r>
      <w:r>
        <w:t xml:space="preserve">de cada socio (tiempo completo, parcial, asesor) y consecuencias si no se cumple.</w:t>
      </w:r>
    </w:p>
    <w:p>
      <w:pPr>
        <w:pStyle w:val="Heading2"/>
      </w:pPr>
      <w:r>
        <w:t xml:space="preserve">4.2 Niveles de decisión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CCCCCC" w:sz="1"/>
              <w:left w:val="single" w:color="CCCCCC" w:sz="1"/>
              <w:bottom w:val="single" w:color="CCCCCC" w:sz="1"/>
              <w:right w:val="single" w:color="CCCCCC" w:sz="1"/>
            </w:tcBorders>
            <w:shd w:fill="1F3864" w:val="clear"/>
            <w:tcMar>
              <w:top w:type="dxa" w:w="100"/>
              <w:left w:type="dxa" w:w="140"/>
              <w:bottom w:type="dxa" w:w="100"/>
              <w:right w:type="dxa" w:w="140"/>
            </w:tcMar>
            <w:vAlign w:val="center"/>
          </w:tcPr>
          <w:p>
            <w:r>
              <w:rPr>
                <w:b/>
                <w:bCs/>
                <w:color w:val="FFFFFF"/>
                <w:sz w:val="20"/>
                <w:szCs w:val="20"/>
              </w:rPr>
              <w:t xml:space="preserve">Tipo de decisión</w:t>
            </w:r>
          </w:p>
        </w:tc>
        <w:tc>
          <w:tcPr>
            <w:tcW w:type="dxa" w:w="3120"/>
            <w:tcBorders>
              <w:top w:val="single" w:color="CCCCCC" w:sz="1"/>
              <w:left w:val="single" w:color="CCCCCC" w:sz="1"/>
              <w:bottom w:val="single" w:color="CCCCCC" w:sz="1"/>
              <w:right w:val="single" w:color="CCCCCC" w:sz="1"/>
            </w:tcBorders>
            <w:shd w:fill="1F3864" w:val="clear"/>
            <w:tcMar>
              <w:top w:type="dxa" w:w="100"/>
              <w:left w:type="dxa" w:w="140"/>
              <w:bottom w:type="dxa" w:w="100"/>
              <w:right w:type="dxa" w:w="140"/>
            </w:tcMar>
            <w:vAlign w:val="center"/>
          </w:tcPr>
          <w:p>
            <w:r>
              <w:rPr>
                <w:b/>
                <w:bCs/>
                <w:color w:val="FFFFFF"/>
                <w:sz w:val="20"/>
                <w:szCs w:val="20"/>
              </w:rPr>
              <w:t xml:space="preserve">Ejemplos</w:t>
            </w:r>
          </w:p>
        </w:tc>
        <w:tc>
          <w:tcPr>
            <w:tcW w:type="dxa" w:w="3120"/>
            <w:tcBorders>
              <w:top w:val="single" w:color="CCCCCC" w:sz="1"/>
              <w:left w:val="single" w:color="CCCCCC" w:sz="1"/>
              <w:bottom w:val="single" w:color="CCCCCC" w:sz="1"/>
              <w:right w:val="single" w:color="CCCCCC" w:sz="1"/>
            </w:tcBorders>
            <w:shd w:fill="1F3864" w:val="clear"/>
            <w:tcMar>
              <w:top w:type="dxa" w:w="100"/>
              <w:left w:type="dxa" w:w="140"/>
              <w:bottom w:type="dxa" w:w="100"/>
              <w:right w:type="dxa" w:w="140"/>
            </w:tcMar>
            <w:vAlign w:val="center"/>
          </w:tcPr>
          <w:p>
            <w:r>
              <w:rPr>
                <w:b/>
                <w:bCs/>
                <w:color w:val="FFFFFF"/>
                <w:sz w:val="20"/>
                <w:szCs w:val="20"/>
              </w:rPr>
              <w:t xml:space="preserve">Umbral típico</w:t>
            </w:r>
          </w:p>
        </w:tc>
      </w:tr>
      <w:tr>
        <w:tc>
          <w:tcPr>
            <w:tcW w:type="dxa" w:w="3120"/>
            <w:tcBorders>
              <w:top w:val="single" w:color="CCCCCC" w:sz="1"/>
              <w:left w:val="single" w:color="CCCCCC" w:sz="1"/>
              <w:bottom w:val="single" w:color="CCCCCC" w:sz="1"/>
              <w:right w:val="single" w:color="CCCCCC" w:sz="1"/>
            </w:tcBorders>
            <w:shd w:fill="F7F9FC" w:val="clear"/>
            <w:tcMar>
              <w:top w:type="dxa" w:w="100"/>
              <w:left w:type="dxa" w:w="140"/>
              <w:bottom w:type="dxa" w:w="100"/>
              <w:right w:type="dxa" w:w="140"/>
            </w:tcMar>
            <w:vAlign w:val="center"/>
          </w:tcPr>
          <w:p>
            <w:r>
              <w:rPr>
                <w:b w:val="false"/>
                <w:bCs w:val="false"/>
                <w:sz w:val="20"/>
                <w:szCs w:val="20"/>
              </w:rPr>
              <w:t xml:space="preserve">Operativas del día a día</w:t>
            </w:r>
          </w:p>
        </w:tc>
        <w:tc>
          <w:tcPr>
            <w:tcW w:type="dxa" w:w="3120"/>
            <w:tcBorders>
              <w:top w:val="single" w:color="CCCCCC" w:sz="1"/>
              <w:left w:val="single" w:color="CCCCCC" w:sz="1"/>
              <w:bottom w:val="single" w:color="CCCCCC" w:sz="1"/>
              <w:right w:val="single" w:color="CCCCCC" w:sz="1"/>
            </w:tcBorders>
            <w:shd w:fill="F7F9FC" w:val="clear"/>
            <w:tcMar>
              <w:top w:type="dxa" w:w="100"/>
              <w:left w:type="dxa" w:w="140"/>
              <w:bottom w:type="dxa" w:w="100"/>
              <w:right w:type="dxa" w:w="140"/>
            </w:tcMar>
            <w:vAlign w:val="center"/>
          </w:tcPr>
          <w:p>
            <w:r>
              <w:rPr>
                <w:b w:val="false"/>
                <w:bCs w:val="false"/>
                <w:sz w:val="20"/>
                <w:szCs w:val="20"/>
              </w:rPr>
              <w:t xml:space="preserve">Gastos menores, contrataciones operativas, proveedores</w:t>
            </w:r>
          </w:p>
        </w:tc>
        <w:tc>
          <w:tcPr>
            <w:tcW w:type="dxa" w:w="3120"/>
            <w:tcBorders>
              <w:top w:val="single" w:color="CCCCCC" w:sz="1"/>
              <w:left w:val="single" w:color="CCCCCC" w:sz="1"/>
              <w:bottom w:val="single" w:color="CCCCCC" w:sz="1"/>
              <w:right w:val="single" w:color="CCCCCC" w:sz="1"/>
            </w:tcBorders>
            <w:shd w:fill="F7F9FC" w:val="clear"/>
            <w:tcMar>
              <w:top w:type="dxa" w:w="100"/>
              <w:left w:type="dxa" w:w="140"/>
              <w:bottom w:type="dxa" w:w="100"/>
              <w:right w:type="dxa" w:w="140"/>
            </w:tcMar>
            <w:vAlign w:val="center"/>
          </w:tcPr>
          <w:p>
            <w:r>
              <w:rPr>
                <w:b w:val="false"/>
                <w:bCs w:val="false"/>
                <w:sz w:val="20"/>
                <w:szCs w:val="20"/>
              </w:rPr>
              <w:t xml:space="preserve">Decisión individual (CEO o encargado del área)</w:t>
            </w:r>
          </w:p>
        </w:tc>
      </w:tr>
      <w:tr>
        <w:tc>
          <w:tcPr>
            <w:tcW w:type="dxa" w:w="3120"/>
            <w:tcBorders>
              <w:top w:val="single" w:color="CCCCCC" w:sz="1"/>
              <w:left w:val="single" w:color="CCCCCC" w:sz="1"/>
              <w:bottom w:val="single" w:color="CCCCCC" w:sz="1"/>
              <w:right w:val="single" w:color="CCCCCC" w:sz="1"/>
            </w:tcBorders>
            <w:tcMar>
              <w:top w:type="dxa" w:w="100"/>
              <w:left w:type="dxa" w:w="140"/>
              <w:bottom w:type="dxa" w:w="100"/>
              <w:right w:type="dxa" w:w="140"/>
            </w:tcMar>
            <w:vAlign w:val="center"/>
          </w:tcPr>
          <w:p>
            <w:r>
              <w:rPr>
                <w:b w:val="false"/>
                <w:bCs w:val="false"/>
                <w:sz w:val="20"/>
                <w:szCs w:val="20"/>
              </w:rPr>
              <w:t xml:space="preserve">Relevantes</w:t>
            </w:r>
          </w:p>
        </w:tc>
        <w:tc>
          <w:tcPr>
            <w:tcW w:type="dxa" w:w="3120"/>
            <w:tcBorders>
              <w:top w:val="single" w:color="CCCCCC" w:sz="1"/>
              <w:left w:val="single" w:color="CCCCCC" w:sz="1"/>
              <w:bottom w:val="single" w:color="CCCCCC" w:sz="1"/>
              <w:right w:val="single" w:color="CCCCCC" w:sz="1"/>
            </w:tcBorders>
            <w:tcMar>
              <w:top w:type="dxa" w:w="100"/>
              <w:left w:type="dxa" w:w="140"/>
              <w:bottom w:type="dxa" w:w="100"/>
              <w:right w:type="dxa" w:w="140"/>
            </w:tcMar>
            <w:vAlign w:val="center"/>
          </w:tcPr>
          <w:p>
            <w:r>
              <w:rPr>
                <w:b w:val="false"/>
                <w:bCs w:val="false"/>
                <w:sz w:val="20"/>
                <w:szCs w:val="20"/>
              </w:rPr>
              <w:t xml:space="preserve">Presupuesto anual, contrataciones clave, gastos sobre cierto monto</w:t>
            </w:r>
          </w:p>
        </w:tc>
        <w:tc>
          <w:tcPr>
            <w:tcW w:type="dxa" w:w="3120"/>
            <w:tcBorders>
              <w:top w:val="single" w:color="CCCCCC" w:sz="1"/>
              <w:left w:val="single" w:color="CCCCCC" w:sz="1"/>
              <w:bottom w:val="single" w:color="CCCCCC" w:sz="1"/>
              <w:right w:val="single" w:color="CCCCCC" w:sz="1"/>
            </w:tcBorders>
            <w:tcMar>
              <w:top w:type="dxa" w:w="100"/>
              <w:left w:type="dxa" w:w="140"/>
              <w:bottom w:type="dxa" w:w="100"/>
              <w:right w:type="dxa" w:w="140"/>
            </w:tcMar>
            <w:vAlign w:val="center"/>
          </w:tcPr>
          <w:p>
            <w:r>
              <w:rPr>
                <w:b w:val="false"/>
                <w:bCs w:val="false"/>
                <w:sz w:val="20"/>
                <w:szCs w:val="20"/>
              </w:rPr>
              <w:t xml:space="preserve">Mayoría simple de socios</w:t>
            </w:r>
          </w:p>
        </w:tc>
      </w:tr>
      <w:tr>
        <w:tc>
          <w:tcPr>
            <w:tcW w:type="dxa" w:w="3120"/>
            <w:tcBorders>
              <w:top w:val="single" w:color="CCCCCC" w:sz="1"/>
              <w:left w:val="single" w:color="CCCCCC" w:sz="1"/>
              <w:bottom w:val="single" w:color="CCCCCC" w:sz="1"/>
              <w:right w:val="single" w:color="CCCCCC" w:sz="1"/>
            </w:tcBorders>
            <w:shd w:fill="F7F9FC" w:val="clear"/>
            <w:tcMar>
              <w:top w:type="dxa" w:w="100"/>
              <w:left w:type="dxa" w:w="140"/>
              <w:bottom w:type="dxa" w:w="100"/>
              <w:right w:type="dxa" w:w="140"/>
            </w:tcMar>
            <w:vAlign w:val="center"/>
          </w:tcPr>
          <w:p>
            <w:r>
              <w:rPr>
                <w:b w:val="false"/>
                <w:bCs w:val="false"/>
                <w:sz w:val="20"/>
                <w:szCs w:val="20"/>
              </w:rPr>
              <w:t xml:space="preserve">Estratégicas / estructurales</w:t>
            </w:r>
          </w:p>
        </w:tc>
        <w:tc>
          <w:tcPr>
            <w:tcW w:type="dxa" w:w="3120"/>
            <w:tcBorders>
              <w:top w:val="single" w:color="CCCCCC" w:sz="1"/>
              <w:left w:val="single" w:color="CCCCCC" w:sz="1"/>
              <w:bottom w:val="single" w:color="CCCCCC" w:sz="1"/>
              <w:right w:val="single" w:color="CCCCCC" w:sz="1"/>
            </w:tcBorders>
            <w:shd w:fill="F7F9FC" w:val="clear"/>
            <w:tcMar>
              <w:top w:type="dxa" w:w="100"/>
              <w:left w:type="dxa" w:w="140"/>
              <w:bottom w:type="dxa" w:w="100"/>
              <w:right w:type="dxa" w:w="140"/>
            </w:tcMar>
            <w:vAlign w:val="center"/>
          </w:tcPr>
          <w:p>
            <w:r>
              <w:rPr>
                <w:b w:val="false"/>
                <w:bCs w:val="false"/>
                <w:sz w:val="20"/>
                <w:szCs w:val="20"/>
              </w:rPr>
              <w:t xml:space="preserve">Levantar inversión, vender activos importantes, endeudamiento grande, cambiar de giro</w:t>
            </w:r>
          </w:p>
        </w:tc>
        <w:tc>
          <w:tcPr>
            <w:tcW w:type="dxa" w:w="3120"/>
            <w:tcBorders>
              <w:top w:val="single" w:color="CCCCCC" w:sz="1"/>
              <w:left w:val="single" w:color="CCCCCC" w:sz="1"/>
              <w:bottom w:val="single" w:color="CCCCCC" w:sz="1"/>
              <w:right w:val="single" w:color="CCCCCC" w:sz="1"/>
            </w:tcBorders>
            <w:shd w:fill="F7F9FC" w:val="clear"/>
            <w:tcMar>
              <w:top w:type="dxa" w:w="100"/>
              <w:left w:type="dxa" w:w="140"/>
              <w:bottom w:type="dxa" w:w="100"/>
              <w:right w:type="dxa" w:w="140"/>
            </w:tcMar>
            <w:vAlign w:val="center"/>
          </w:tcPr>
          <w:p>
            <w:r>
              <w:rPr>
                <w:b w:val="false"/>
                <w:bCs w:val="false"/>
                <w:sz w:val="20"/>
                <w:szCs w:val="20"/>
              </w:rPr>
              <w:t xml:space="preserve">Mayoría calificada (ej. 75-80%)</w:t>
            </w:r>
          </w:p>
        </w:tc>
      </w:tr>
      <w:tr>
        <w:tc>
          <w:tcPr>
            <w:tcW w:type="dxa" w:w="3120"/>
            <w:tcBorders>
              <w:top w:val="single" w:color="CCCCCC" w:sz="1"/>
              <w:left w:val="single" w:color="CCCCCC" w:sz="1"/>
              <w:bottom w:val="single" w:color="CCCCCC" w:sz="1"/>
              <w:right w:val="single" w:color="CCCCCC" w:sz="1"/>
            </w:tcBorders>
            <w:tcMar>
              <w:top w:type="dxa" w:w="100"/>
              <w:left w:type="dxa" w:w="140"/>
              <w:bottom w:type="dxa" w:w="100"/>
              <w:right w:type="dxa" w:w="140"/>
            </w:tcMar>
            <w:vAlign w:val="center"/>
          </w:tcPr>
          <w:p>
            <w:r>
              <w:rPr>
                <w:b w:val="false"/>
                <w:bCs w:val="false"/>
                <w:sz w:val="20"/>
                <w:szCs w:val="20"/>
              </w:rPr>
              <w:t xml:space="preserve">Fundamentales</w:t>
            </w:r>
          </w:p>
        </w:tc>
        <w:tc>
          <w:tcPr>
            <w:tcW w:type="dxa" w:w="3120"/>
            <w:tcBorders>
              <w:top w:val="single" w:color="CCCCCC" w:sz="1"/>
              <w:left w:val="single" w:color="CCCCCC" w:sz="1"/>
              <w:bottom w:val="single" w:color="CCCCCC" w:sz="1"/>
              <w:right w:val="single" w:color="CCCCCC" w:sz="1"/>
            </w:tcBorders>
            <w:tcMar>
              <w:top w:type="dxa" w:w="100"/>
              <w:left w:type="dxa" w:w="140"/>
              <w:bottom w:type="dxa" w:w="100"/>
              <w:right w:type="dxa" w:w="140"/>
            </w:tcMar>
            <w:vAlign w:val="center"/>
          </w:tcPr>
          <w:p>
            <w:r>
              <w:rPr>
                <w:b w:val="false"/>
                <w:bCs w:val="false"/>
                <w:sz w:val="20"/>
                <w:szCs w:val="20"/>
              </w:rPr>
              <w:t xml:space="preserve">Vender la empresa, disolverla, modificar el acuerdo de socios, emitir nuevas acciones</w:t>
            </w:r>
          </w:p>
        </w:tc>
        <w:tc>
          <w:tcPr>
            <w:tcW w:type="dxa" w:w="3120"/>
            <w:tcBorders>
              <w:top w:val="single" w:color="CCCCCC" w:sz="1"/>
              <w:left w:val="single" w:color="CCCCCC" w:sz="1"/>
              <w:bottom w:val="single" w:color="CCCCCC" w:sz="1"/>
              <w:right w:val="single" w:color="CCCCCC" w:sz="1"/>
            </w:tcBorders>
            <w:tcMar>
              <w:top w:type="dxa" w:w="100"/>
              <w:left w:type="dxa" w:w="140"/>
              <w:bottom w:type="dxa" w:w="100"/>
              <w:right w:type="dxa" w:w="140"/>
            </w:tcMar>
            <w:vAlign w:val="center"/>
          </w:tcPr>
          <w:p>
            <w:r>
              <w:rPr>
                <w:b w:val="false"/>
                <w:bCs w:val="false"/>
                <w:sz w:val="20"/>
                <w:szCs w:val="20"/>
              </w:rPr>
              <w:t xml:space="preserve">Unanimidad o mayoría muy calificada</w:t>
            </w:r>
          </w:p>
        </w:tc>
      </w:tr>
    </w:tbl>
    <w:p>
      <w:pPr>
        <w:spacing w:after="160"/>
      </w:pPr>
      <w:r>
        <w:t xml:space="preserve"/>
      </w:r>
    </w:p>
    <w:p>
      <w:pPr>
        <w:pStyle w:val="Heading2"/>
      </w:pPr>
      <w:r>
        <w:t xml:space="preserve">4.3 Mecanismos de protección al voto</w:t>
      </w:r>
    </w:p>
    <w:p>
      <w:pPr>
        <w:pStyle w:val="ListParagraph"/>
        <w:numPr>
          <w:ilvl w:val="0"/>
          <w:numId w:val="2"/>
        </w:numPr>
        <w:spacing w:after="80"/>
      </w:pPr>
      <w:r>
        <w:rPr>
          <w:b/>
          <w:bCs/>
        </w:rPr>
        <w:t xml:space="preserve">Derechos de veto </w:t>
      </w:r>
      <w:r>
        <w:t xml:space="preserve">para socios minoritarios sobre decisiones fundamentales (protective provisions).</w:t>
      </w:r>
    </w:p>
    <w:p>
      <w:pPr>
        <w:pStyle w:val="ListParagraph"/>
        <w:numPr>
          <w:ilvl w:val="0"/>
          <w:numId w:val="2"/>
        </w:numPr>
        <w:spacing w:after="80"/>
      </w:pPr>
      <w:r>
        <w:rPr>
          <w:b/>
          <w:bCs/>
        </w:rPr>
        <w:t xml:space="preserve">Quórum mínimo </w:t>
      </w:r>
      <w:r>
        <w:t xml:space="preserve">para que una junta o asamblea sea válida.</w:t>
      </w:r>
    </w:p>
    <w:p>
      <w:pPr>
        <w:pStyle w:val="ListParagraph"/>
        <w:numPr>
          <w:ilvl w:val="0"/>
          <w:numId w:val="2"/>
        </w:numPr>
        <w:spacing w:after="80"/>
      </w:pPr>
      <w:r>
        <w:rPr>
          <w:b/>
          <w:bCs/>
        </w:rPr>
        <w:t xml:space="preserve">Voto de calidad o desempate </w:t>
      </w:r>
      <w:r>
        <w:t xml:space="preserve">en caso de empate entre socios (50/50), y quién lo tiene o cómo se resuelve.</w:t>
      </w:r>
    </w:p>
    <w:p>
      <w:pPr>
        <w:pStyle w:val="ListParagraph"/>
        <w:numPr>
          <w:ilvl w:val="0"/>
          <w:numId w:val="2"/>
        </w:numPr>
        <w:spacing w:after="80"/>
      </w:pPr>
      <w:r>
        <w:rPr>
          <w:b/>
          <w:bCs/>
        </w:rPr>
        <w:t xml:space="preserve">Consejo de administración / comité directivo: </w:t>
      </w:r>
      <w:r>
        <w:t xml:space="preserve">número de asientos, quién los ocupa y cómo se eligen.</w:t>
      </w:r>
    </w:p>
    <w:p>
      <w:pPr>
        <w:pStyle w:val="Heading1"/>
      </w:pPr>
      <w:r>
        <w:t xml:space="preserve">5. Términos de Salida de un Socio</w:t>
      </w:r>
    </w:p>
    <w:p>
      <w:pPr>
        <w:spacing w:after="160"/>
      </w:pPr>
      <w:r>
        <w:t xml:space="preserve">Tarde o temprano, alguien se quiere ir, hay que sacar a alguien, o alguien fallece o queda incapacitado. Sin reglas claras, esto se vuelve un conflicto legal largo y costoso.</w:t>
      </w:r>
    </w:p>
    <w:p>
      <w:pPr>
        <w:pStyle w:val="Heading2"/>
      </w:pPr>
      <w:r>
        <w:t xml:space="preserve">5.1 Tipos de salida que se deben prever</w:t>
      </w:r>
    </w:p>
    <w:p>
      <w:pPr>
        <w:pStyle w:val="ListParagraph"/>
        <w:numPr>
          <w:ilvl w:val="0"/>
          <w:numId w:val="2"/>
        </w:numPr>
        <w:spacing w:after="80"/>
      </w:pPr>
      <w:r>
        <w:rPr>
          <w:b/>
          <w:bCs/>
        </w:rPr>
        <w:t xml:space="preserve">Salida voluntaria (renuncia): </w:t>
      </w:r>
      <w:r>
        <w:t xml:space="preserve">el socio decide irse por su cuenta.</w:t>
      </w:r>
    </w:p>
    <w:p>
      <w:pPr>
        <w:pStyle w:val="ListParagraph"/>
        <w:numPr>
          <w:ilvl w:val="0"/>
          <w:numId w:val="2"/>
        </w:numPr>
        <w:spacing w:after="80"/>
      </w:pPr>
      <w:r>
        <w:rPr>
          <w:b/>
          <w:bCs/>
        </w:rPr>
        <w:t xml:space="preserve">Remoción con causa justificada (“for cause”): </w:t>
      </w:r>
      <w:r>
        <w:t xml:space="preserve">fraude, incumplimiento grave, conducta dañina al negocio, violación del acuerdo.</w:t>
      </w:r>
    </w:p>
    <w:p>
      <w:pPr>
        <w:pStyle w:val="ListParagraph"/>
        <w:numPr>
          <w:ilvl w:val="0"/>
          <w:numId w:val="2"/>
        </w:numPr>
        <w:spacing w:after="80"/>
      </w:pPr>
      <w:r>
        <w:rPr>
          <w:b/>
          <w:bCs/>
        </w:rPr>
        <w:t xml:space="preserve">Remoción sin causa (“without cause”): </w:t>
      </w:r>
      <w:r>
        <w:t xml:space="preserve">los demás socios decidieron separarlo aunque no haya una falta grave.</w:t>
      </w:r>
    </w:p>
    <w:p>
      <w:pPr>
        <w:pStyle w:val="ListParagraph"/>
        <w:numPr>
          <w:ilvl w:val="0"/>
          <w:numId w:val="2"/>
        </w:numPr>
        <w:spacing w:after="80"/>
      </w:pPr>
      <w:r>
        <w:rPr>
          <w:b/>
          <w:bCs/>
        </w:rPr>
        <w:t xml:space="preserve">Incapacidad o fallecimiento: </w:t>
      </w:r>
      <w:r>
        <w:t xml:space="preserve">qué pasa con sus acciones y si hay un seguro que cubra la compra de su parte (seguro “key person”).</w:t>
      </w:r>
    </w:p>
    <w:p>
      <w:pPr>
        <w:pStyle w:val="ListParagraph"/>
        <w:numPr>
          <w:ilvl w:val="0"/>
          <w:numId w:val="2"/>
        </w:numPr>
        <w:spacing w:after="80"/>
      </w:pPr>
      <w:r>
        <w:rPr>
          <w:b/>
          <w:bCs/>
        </w:rPr>
        <w:t xml:space="preserve">Buen y mal leaver (“good leaver / bad leaver”): </w:t>
      </w:r>
      <w:r>
        <w:t xml:space="preserve">distinguir el trato económico según la razón de la salida.</w:t>
      </w:r>
    </w:p>
    <w:p>
      <w:pPr>
        <w:pStyle w:val="Heading2"/>
      </w:pPr>
      <w:r>
        <w:t xml:space="preserve">5.2 Qué debe definir la cláusula de salida</w:t>
      </w:r>
    </w:p>
    <w:p>
      <w:pPr>
        <w:pStyle w:val="ListParagraph"/>
        <w:numPr>
          <w:ilvl w:val="0"/>
          <w:numId w:val="3"/>
        </w:numPr>
        <w:spacing w:after="80"/>
      </w:pPr>
      <w:r>
        <w:t xml:space="preserve">Qué pasa con las acciones del socio que sale (recompra obligatoria, opcional, a quién y en qué orden).</w:t>
      </w:r>
    </w:p>
    <w:p>
      <w:pPr>
        <w:pStyle w:val="ListParagraph"/>
        <w:numPr>
          <w:ilvl w:val="0"/>
          <w:numId w:val="3"/>
        </w:numPr>
        <w:spacing w:after="80"/>
      </w:pPr>
      <w:r>
        <w:t xml:space="preserve">Cómo se calcula el precio de esas acciones (valuación independiente, fórmula predefinida, libros contables, último round de inversión).</w:t>
      </w:r>
    </w:p>
    <w:p>
      <w:pPr>
        <w:pStyle w:val="ListParagraph"/>
        <w:numPr>
          <w:ilvl w:val="0"/>
          <w:numId w:val="3"/>
        </w:numPr>
        <w:spacing w:after="80"/>
      </w:pPr>
      <w:r>
        <w:t xml:space="preserve">Forma y plazos de pago (al contado, en parcialidades, con o sin intereses).</w:t>
      </w:r>
    </w:p>
    <w:p>
      <w:pPr>
        <w:pStyle w:val="ListParagraph"/>
        <w:numPr>
          <w:ilvl w:val="0"/>
          <w:numId w:val="3"/>
        </w:numPr>
        <w:spacing w:after="80"/>
      </w:pPr>
      <w:r>
        <w:t xml:space="preserve">Si las acciones “no adquiridas” (unvested) regresan automáticamente a la empresa.</w:t>
      </w:r>
    </w:p>
    <w:p>
      <w:pPr>
        <w:pStyle w:val="ListParagraph"/>
        <w:numPr>
          <w:ilvl w:val="0"/>
          <w:numId w:val="3"/>
        </w:numPr>
        <w:spacing w:after="80"/>
      </w:pPr>
      <w:r>
        <w:t xml:space="preserve">Restricciones posteriores a la salida (confidencialidad, no competencia, no solicitación de clientes o empleados).</w:t>
      </w:r>
    </w:p>
    <w:p>
      <w:pPr>
        <w:pStyle w:val="ListParagraph"/>
        <w:numPr>
          <w:ilvl w:val="0"/>
          <w:numId w:val="3"/>
        </w:numPr>
        <w:spacing w:after="80"/>
      </w:pPr>
      <w:r>
        <w:t xml:space="preserve">Tratamiento de deudas, garantías personales o avales que el socio saliente haya otorgado a la empresa.</w:t>
      </w:r>
    </w:p>
    <w:p>
      <w:pPr>
        <w:pStyle w:val="Heading2"/>
      </w:pPr>
      <w:r>
        <w:t xml:space="preserve">5.3 Cláusulas relacionadas con la transferencia de acciones</w:t>
      </w:r>
    </w:p>
    <w:p>
      <w:pPr>
        <w:pStyle w:val="ListParagraph"/>
        <w:numPr>
          <w:ilvl w:val="0"/>
          <w:numId w:val="2"/>
        </w:numPr>
        <w:spacing w:after="80"/>
      </w:pPr>
      <w:r>
        <w:rPr>
          <w:b/>
          <w:bCs/>
        </w:rPr>
        <w:t xml:space="preserve">Derecho de primer rechazo (ROFR): </w:t>
      </w:r>
      <w:r>
        <w:t xml:space="preserve">si un socio quiere vender su parte a un tercero, los demás socios tienen derecho a comprarla primero en las mismas condiciones.</w:t>
      </w:r>
    </w:p>
    <w:p>
      <w:pPr>
        <w:pStyle w:val="ListParagraph"/>
        <w:numPr>
          <w:ilvl w:val="0"/>
          <w:numId w:val="2"/>
        </w:numPr>
        <w:spacing w:after="80"/>
      </w:pPr>
      <w:r>
        <w:rPr>
          <w:b/>
          <w:bCs/>
        </w:rPr>
        <w:t xml:space="preserve">Derecho de arrastre (drag-along): </w:t>
      </w:r>
      <w:r>
        <w:t xml:space="preserve">si la mayoría decide vender la empresa, puede obligar a los minoritarios a vender también.</w:t>
      </w:r>
    </w:p>
    <w:p>
      <w:pPr>
        <w:pStyle w:val="ListParagraph"/>
        <w:numPr>
          <w:ilvl w:val="0"/>
          <w:numId w:val="2"/>
        </w:numPr>
        <w:spacing w:after="80"/>
      </w:pPr>
      <w:r>
        <w:rPr>
          <w:b/>
          <w:bCs/>
        </w:rPr>
        <w:t xml:space="preserve">Derecho de acompañamiento (tag-along): </w:t>
      </w:r>
      <w:r>
        <w:t xml:space="preserve">si un socio mayoritario vende su parte, los minoritarios pueden exigir vender la suya en las mismas condiciones.</w:t>
      </w:r>
    </w:p>
    <w:p>
      <w:pPr>
        <w:pStyle w:val="ListParagraph"/>
        <w:numPr>
          <w:ilvl w:val="0"/>
          <w:numId w:val="2"/>
        </w:numPr>
        <w:spacing w:after="80"/>
      </w:pPr>
      <w:r>
        <w:rPr>
          <w:b/>
          <w:bCs/>
        </w:rPr>
        <w:t xml:space="preserve">Cláusula “shotgun” / oferta obligatoria: </w:t>
      </w:r>
      <w:r>
        <w:t xml:space="preserve">mecanismo para resolver desacuerdos graves entre socios mediante compra-venta forzosa entre ellos mismos.</w:t>
      </w:r>
    </w:p>
    <w:p>
      <w:pPr>
        <w:pStyle w:val="ListParagraph"/>
        <w:numPr>
          <w:ilvl w:val="0"/>
          <w:numId w:val="2"/>
        </w:numPr>
        <w:spacing w:after="80"/>
      </w:pPr>
      <w:r>
        <w:rPr>
          <w:b/>
          <w:bCs/>
        </w:rPr>
        <w:t xml:space="preserve">Restricción de transferencia (“lock-up”): </w:t>
      </w:r>
      <w:r>
        <w:t xml:space="preserve">prohibición de vender acciones a terceros durante cierto periodo sin consentimiento de los demás socios.</w:t>
      </w:r>
    </w:p>
    <w:p>
      <w:pPr>
        <w:pStyle w:val="Heading1"/>
      </w:pPr>
      <w:r>
        <w:t xml:space="preserve">6. Protección del Negocio</w:t>
      </w:r>
    </w:p>
    <w:p>
      <w:pPr>
        <w:pStyle w:val="Heading2"/>
      </w:pPr>
      <w:r>
        <w:t xml:space="preserve">6.1 Confidencialidad</w:t>
      </w:r>
    </w:p>
    <w:p>
      <w:pPr>
        <w:pStyle w:val="ListParagraph"/>
        <w:numPr>
          <w:ilvl w:val="0"/>
          <w:numId w:val="2"/>
        </w:numPr>
        <w:spacing w:after="80"/>
      </w:pPr>
      <w:r>
        <w:rPr>
          <w:b/>
          <w:bCs/>
        </w:rPr>
        <w:t xml:space="preserve">Definición amplia </w:t>
      </w:r>
      <w:r>
        <w:t xml:space="preserve">de qué se considera información confidencial (clientes, finanzas, procesos, código, estrategia).</w:t>
      </w:r>
    </w:p>
    <w:p>
      <w:pPr>
        <w:pStyle w:val="ListParagraph"/>
        <w:numPr>
          <w:ilvl w:val="0"/>
          <w:numId w:val="2"/>
        </w:numPr>
        <w:spacing w:after="80"/>
      </w:pPr>
      <w:r>
        <w:rPr>
          <w:b/>
          <w:bCs/>
        </w:rPr>
        <w:t xml:space="preserve">Duración de la obligación </w:t>
      </w:r>
      <w:r>
        <w:t xml:space="preserve">después de que el socio deja la empresa (comúnmente 2-5 años, o indefinida según el tipo de información).</w:t>
      </w:r>
    </w:p>
    <w:p>
      <w:pPr>
        <w:pStyle w:val="Heading2"/>
      </w:pPr>
      <w:r>
        <w:t xml:space="preserve">6.2 No competencia y no solicitación</w:t>
      </w:r>
    </w:p>
    <w:p>
      <w:pPr>
        <w:pStyle w:val="ListParagraph"/>
        <w:numPr>
          <w:ilvl w:val="0"/>
          <w:numId w:val="2"/>
        </w:numPr>
        <w:spacing w:after="80"/>
      </w:pPr>
      <w:r>
        <w:rPr>
          <w:b/>
          <w:bCs/>
        </w:rPr>
        <w:t xml:space="preserve">No competencia: </w:t>
      </w:r>
      <w:r>
        <w:t xml:space="preserve">prohibición de iniciar o participar en un negocio competidor durante la sociedad y por un periodo después de salir.</w:t>
      </w:r>
    </w:p>
    <w:p>
      <w:pPr>
        <w:pStyle w:val="ListParagraph"/>
        <w:numPr>
          <w:ilvl w:val="0"/>
          <w:numId w:val="2"/>
        </w:numPr>
        <w:spacing w:after="80"/>
      </w:pPr>
      <w:r>
        <w:rPr>
          <w:b/>
          <w:bCs/>
        </w:rPr>
        <w:t xml:space="preserve">No solicitación de clientes </w:t>
      </w:r>
      <w:r>
        <w:t xml:space="preserve">que el socio haya atendido mientras estuvo en la empresa.</w:t>
      </w:r>
    </w:p>
    <w:p>
      <w:pPr>
        <w:pStyle w:val="ListParagraph"/>
        <w:numPr>
          <w:ilvl w:val="0"/>
          <w:numId w:val="2"/>
        </w:numPr>
        <w:spacing w:after="80"/>
      </w:pPr>
      <w:r>
        <w:rPr>
          <w:b/>
          <w:bCs/>
        </w:rPr>
        <w:t xml:space="preserve">No solicitación de empleados </w:t>
      </w:r>
      <w:r>
        <w:t xml:space="preserve">(no “robarse” al equipo para otro proyecto).</w:t>
      </w:r>
    </w:p>
    <w:p>
      <w:pPr>
        <w:pBdr>
          <w:top w:val="single" w:color="2E75B6" w:sz="6" w:space="8"/>
          <w:left w:val="single" w:color="2E75B6" w:sz="6" w:space="8"/>
          <w:bottom w:val="single" w:color="2E75B6" w:sz="6" w:space="8"/>
          <w:right w:val="single" w:color="2E75B6" w:sz="6" w:space="8"/>
        </w:pBdr>
        <w:shd w:fill="F2F7FC" w:val="clear"/>
        <w:spacing w:after="200" w:before="120"/>
      </w:pPr>
      <w:r>
        <w:rPr>
          <w:b/>
          <w:bCs/>
          <w:color w:val="1F3864"/>
        </w:rPr>
        <w:t xml:space="preserve">Nota legal: </w:t>
      </w:r>
      <w:r>
        <w:t xml:space="preserve">Las cláusulas de no competencia tienen límites legales distintos según el país (algunos las restringen mucho o las anulan si son demasiado amplias en tiempo o territorio). Deben revisarse con un abogado local.</w:t>
      </w:r>
    </w:p>
    <w:p>
      <w:pPr>
        <w:pStyle w:val="Heading2"/>
      </w:pPr>
      <w:r>
        <w:t xml:space="preserve">6.3 Propiedad intelectual</w:t>
      </w:r>
    </w:p>
    <w:p>
      <w:pPr>
        <w:pStyle w:val="ListParagraph"/>
        <w:numPr>
          <w:ilvl w:val="0"/>
          <w:numId w:val="2"/>
        </w:numPr>
        <w:spacing w:after="80"/>
      </w:pPr>
      <w:r>
        <w:rPr>
          <w:b/>
          <w:bCs/>
        </w:rPr>
        <w:t xml:space="preserve">Cesión de PI a la empresa: </w:t>
      </w:r>
      <w:r>
        <w:t xml:space="preserve">todo lo creado por los socios relacionado con el negocio (código, marca, diseños, procesos) pertenece a la empresa, no a la persona.</w:t>
      </w:r>
    </w:p>
    <w:p>
      <w:pPr>
        <w:pStyle w:val="ListParagraph"/>
        <w:numPr>
          <w:ilvl w:val="0"/>
          <w:numId w:val="2"/>
        </w:numPr>
        <w:spacing w:after="80"/>
      </w:pPr>
      <w:r>
        <w:rPr>
          <w:b/>
          <w:bCs/>
        </w:rPr>
        <w:t xml:space="preserve">PI previa: </w:t>
      </w:r>
      <w:r>
        <w:t xml:space="preserve">qué propiedad intelectual aportó cada socio antes de la sociedad y bajo qué licencia la pone a disposición del negocio.</w:t>
      </w:r>
    </w:p>
    <w:p>
      <w:pPr>
        <w:pStyle w:val="Heading1"/>
      </w:pPr>
      <w:r>
        <w:t xml:space="preserve">7. Aspectos Económicos y Financieros</w:t>
      </w:r>
    </w:p>
    <w:p>
      <w:pPr>
        <w:pStyle w:val="ListParagraph"/>
        <w:numPr>
          <w:ilvl w:val="0"/>
          <w:numId w:val="2"/>
        </w:numPr>
        <w:spacing w:after="80"/>
      </w:pPr>
      <w:r>
        <w:rPr>
          <w:b/>
          <w:bCs/>
        </w:rPr>
        <w:t xml:space="preserve">Política de dividendos o reparto de utilidades: </w:t>
      </w:r>
      <w:r>
        <w:t xml:space="preserve">cuándo y cómo se reparten ganancias vs. cuándo se reinvierten.</w:t>
      </w:r>
    </w:p>
    <w:p>
      <w:pPr>
        <w:pStyle w:val="ListParagraph"/>
        <w:numPr>
          <w:ilvl w:val="0"/>
          <w:numId w:val="2"/>
        </w:numPr>
        <w:spacing w:after="80"/>
      </w:pPr>
      <w:r>
        <w:rPr>
          <w:b/>
          <w:bCs/>
        </w:rPr>
        <w:t xml:space="preserve">Aportaciones adicionales de capital: </w:t>
      </w:r>
      <w:r>
        <w:t xml:space="preserve">qué pasa si la empresa necesita más dinero — es obligatorio aportar, es opcional, y qué pasa con quien no aporta (dilución).</w:t>
      </w:r>
    </w:p>
    <w:p>
      <w:pPr>
        <w:pStyle w:val="ListParagraph"/>
        <w:numPr>
          <w:ilvl w:val="0"/>
          <w:numId w:val="2"/>
        </w:numPr>
        <w:spacing w:after="80"/>
      </w:pPr>
      <w:r>
        <w:rPr>
          <w:b/>
          <w:bCs/>
        </w:rPr>
        <w:t xml:space="preserve">Salarios de los socios operativos: </w:t>
      </w:r>
      <w:r>
        <w:t xml:space="preserve">si quienes trabajan en la empresa cobran sueldo además de su parte de las utilidades, y cómo se fija ese monto.</w:t>
      </w:r>
    </w:p>
    <w:p>
      <w:pPr>
        <w:pStyle w:val="ListParagraph"/>
        <w:numPr>
          <w:ilvl w:val="0"/>
          <w:numId w:val="2"/>
        </w:numPr>
        <w:spacing w:after="80"/>
      </w:pPr>
      <w:r>
        <w:rPr>
          <w:b/>
          <w:bCs/>
        </w:rPr>
        <w:t xml:space="preserve">Gastos reembolsables </w:t>
      </w:r>
      <w:r>
        <w:t xml:space="preserve">y límites de autorización de gasto por socio.</w:t>
      </w:r>
    </w:p>
    <w:p>
      <w:pPr>
        <w:pStyle w:val="ListParagraph"/>
        <w:numPr>
          <w:ilvl w:val="0"/>
          <w:numId w:val="2"/>
        </w:numPr>
        <w:spacing w:after="80"/>
      </w:pPr>
      <w:r>
        <w:rPr>
          <w:b/>
          <w:bCs/>
        </w:rPr>
        <w:t xml:space="preserve">Préstamos entre socios y la empresa: </w:t>
      </w:r>
      <w:r>
        <w:t xml:space="preserve">condiciones, tasas, y si están permitidos.</w:t>
      </w:r>
    </w:p>
    <w:p>
      <w:pPr>
        <w:pStyle w:val="ListParagraph"/>
        <w:numPr>
          <w:ilvl w:val="0"/>
          <w:numId w:val="2"/>
        </w:numPr>
        <w:spacing w:after="80"/>
      </w:pPr>
      <w:r>
        <w:rPr>
          <w:b/>
          <w:bCs/>
        </w:rPr>
        <w:t xml:space="preserve">Auditoría y transparencia financiera: </w:t>
      </w:r>
      <w:r>
        <w:t xml:space="preserve">acceso de todos los socios a estados financieros y libros contables.</w:t>
      </w:r>
    </w:p>
    <w:p>
      <w:pPr>
        <w:pStyle w:val="Heading1"/>
      </w:pPr>
      <w:r>
        <w:t xml:space="preserve">8. Resolución de Conflictos</w:t>
      </w:r>
    </w:p>
    <w:p>
      <w:pPr>
        <w:pStyle w:val="ListParagraph"/>
        <w:numPr>
          <w:ilvl w:val="0"/>
          <w:numId w:val="2"/>
        </w:numPr>
        <w:spacing w:after="80"/>
      </w:pPr>
      <w:r>
        <w:rPr>
          <w:b/>
          <w:bCs/>
        </w:rPr>
        <w:t xml:space="preserve">Mecanismo de resolución: </w:t>
      </w:r>
      <w:r>
        <w:t xml:space="preserve">negociación directa, mediación, arbitraje o vía judicial, y en qué orden se deben intentar.</w:t>
      </w:r>
    </w:p>
    <w:p>
      <w:pPr>
        <w:pStyle w:val="ListParagraph"/>
        <w:numPr>
          <w:ilvl w:val="0"/>
          <w:numId w:val="2"/>
        </w:numPr>
        <w:spacing w:after="80"/>
      </w:pPr>
      <w:r>
        <w:rPr>
          <w:b/>
          <w:bCs/>
        </w:rPr>
        <w:t xml:space="preserve">Jurisdicción y ley aplicable: </w:t>
      </w:r>
      <w:r>
        <w:t xml:space="preserve">en qué país/estado y bajo qué legislación se resolverá cualquier disputa.</w:t>
      </w:r>
    </w:p>
    <w:p>
      <w:pPr>
        <w:pStyle w:val="ListParagraph"/>
        <w:numPr>
          <w:ilvl w:val="0"/>
          <w:numId w:val="2"/>
        </w:numPr>
        <w:spacing w:after="80"/>
      </w:pPr>
      <w:r>
        <w:rPr>
          <w:b/>
          <w:bCs/>
        </w:rPr>
        <w:t xml:space="preserve">Cláusula de “deadlock”: </w:t>
      </w:r>
      <w:r>
        <w:t xml:space="preserve">qué pasa si los socios quedan empatados en una decisión clave de forma reiterada (puede incluir venta forzosa, socio externo decisor, o disolución).</w:t>
      </w:r>
    </w:p>
    <w:p>
      <w:pPr>
        <w:pStyle w:val="ListParagraph"/>
        <w:numPr>
          <w:ilvl w:val="0"/>
          <w:numId w:val="2"/>
        </w:numPr>
        <w:spacing w:after="80"/>
      </w:pPr>
      <w:r>
        <w:rPr>
          <w:b/>
          <w:bCs/>
        </w:rPr>
        <w:t xml:space="preserve">Confidencialidad del proceso </w:t>
      </w:r>
      <w:r>
        <w:t xml:space="preserve">de resolución de disputas entre socios.</w:t>
      </w:r>
    </w:p>
    <w:p>
      <w:pPr>
        <w:pStyle w:val="Heading1"/>
      </w:pPr>
      <w:r>
        <w:t xml:space="preserve">9. Otras Cláusulas Importantes</w:t>
      </w:r>
    </w:p>
    <w:p>
      <w:pPr>
        <w:pStyle w:val="ListParagraph"/>
        <w:numPr>
          <w:ilvl w:val="0"/>
          <w:numId w:val="2"/>
        </w:numPr>
        <w:spacing w:after="80"/>
      </w:pPr>
      <w:r>
        <w:rPr>
          <w:b/>
          <w:bCs/>
        </w:rPr>
        <w:t xml:space="preserve">Duración del acuerdo y causales de terminación o disolución de la sociedad.</w:t>
      </w:r>
      <w:r/>
    </w:p>
    <w:p>
      <w:pPr>
        <w:pStyle w:val="ListParagraph"/>
        <w:numPr>
          <w:ilvl w:val="0"/>
          <w:numId w:val="2"/>
        </w:numPr>
        <w:spacing w:after="80"/>
      </w:pPr>
      <w:r>
        <w:rPr>
          <w:b/>
          <w:bCs/>
        </w:rPr>
        <w:t xml:space="preserve">Exclusividad: </w:t>
      </w:r>
      <w:r>
        <w:t xml:space="preserve">si los socios pueden o no participar en otros negocios mientras dure la sociedad.</w:t>
      </w:r>
    </w:p>
    <w:p>
      <w:pPr>
        <w:pStyle w:val="ListParagraph"/>
        <w:numPr>
          <w:ilvl w:val="0"/>
          <w:numId w:val="2"/>
        </w:numPr>
        <w:spacing w:after="80"/>
      </w:pPr>
      <w:r>
        <w:rPr>
          <w:b/>
          <w:bCs/>
        </w:rPr>
        <w:t xml:space="preserve">Seguro de vida o invalidez cruzado </w:t>
      </w:r>
      <w:r>
        <w:t xml:space="preserve">entre socios (“key person insurance”) para financiar la compra de la parte de un socio fallecido o incapacitado.</w:t>
      </w:r>
    </w:p>
    <w:p>
      <w:pPr>
        <w:pStyle w:val="ListParagraph"/>
        <w:numPr>
          <w:ilvl w:val="0"/>
          <w:numId w:val="2"/>
        </w:numPr>
        <w:spacing w:after="80"/>
      </w:pPr>
      <w:r>
        <w:rPr>
          <w:b/>
          <w:bCs/>
        </w:rPr>
        <w:t xml:space="preserve">Modificaciones al acuerdo: </w:t>
      </w:r>
      <w:r>
        <w:t xml:space="preserve">qué mayoría se necesita para cambiar el propio acuerdo de socios en el futuro.</w:t>
      </w:r>
    </w:p>
    <w:p>
      <w:pPr>
        <w:pStyle w:val="ListParagraph"/>
        <w:numPr>
          <w:ilvl w:val="0"/>
          <w:numId w:val="2"/>
        </w:numPr>
        <w:spacing w:after="80"/>
      </w:pPr>
      <w:r>
        <w:rPr>
          <w:b/>
          <w:bCs/>
        </w:rPr>
        <w:t xml:space="preserve">Cláusula de entendimiento total: </w:t>
      </w:r>
      <w:r>
        <w:t xml:space="preserve">que este acuerdo sustituye cualquier promesa o entendimiento verbal previo entre los socios.</w:t>
      </w:r>
    </w:p>
    <w:p>
      <w:pPr>
        <w:pStyle w:val="ListParagraph"/>
        <w:numPr>
          <w:ilvl w:val="0"/>
          <w:numId w:val="2"/>
        </w:numPr>
        <w:spacing w:after="80"/>
      </w:pPr>
      <w:r>
        <w:rPr>
          <w:b/>
          <w:bCs/>
        </w:rPr>
        <w:t xml:space="preserve">Plan de sucesión: </w:t>
      </w:r>
      <w:r>
        <w:t xml:space="preserve">qué pasa con la dirección de la empresa si un socio clave ya no puede operar el negocio.</w:t>
      </w:r>
    </w:p>
    <w:p>
      <w:pPr>
        <w:pStyle w:val="Heading1"/>
      </w:pPr>
      <w:r>
        <w:t xml:space="preserve">10. Checklist Final Antes de Firmar</w:t>
      </w:r>
    </w:p>
    <w:p>
      <w:pPr>
        <w:spacing w:after="160"/>
      </w:pPr>
      <w:r>
        <w:t xml:space="preserve">Antes de firmar cualquier acuerdo entre socios, revisa que estos puntos estén claramente redactados por escrito (no solo acordados de palabra):</w:t>
      </w:r>
    </w:p>
    <w:p>
      <w:pPr>
        <w:pStyle w:val="ListParagraph"/>
        <w:numPr>
          <w:ilvl w:val="0"/>
          <w:numId w:val="3"/>
        </w:numPr>
        <w:spacing w:after="80"/>
      </w:pPr>
      <w:r>
        <w:t xml:space="preserve">Porcentaje de propiedad de cada socio y cómo se determinó.</w:t>
      </w:r>
    </w:p>
    <w:p>
      <w:pPr>
        <w:pStyle w:val="ListParagraph"/>
        <w:numPr>
          <w:ilvl w:val="0"/>
          <w:numId w:val="3"/>
        </w:numPr>
        <w:spacing w:after="80"/>
      </w:pPr>
      <w:r>
        <w:t xml:space="preserve">Esquema de vesting con cliff y calendario de adquisición.</w:t>
      </w:r>
    </w:p>
    <w:p>
      <w:pPr>
        <w:pStyle w:val="ListParagraph"/>
        <w:numPr>
          <w:ilvl w:val="0"/>
          <w:numId w:val="3"/>
        </w:numPr>
        <w:spacing w:after="80"/>
      </w:pPr>
      <w:r>
        <w:t xml:space="preserve">Roles, responsabilidades y dedicación de tiempo esperada de cada socio.</w:t>
      </w:r>
    </w:p>
    <w:p>
      <w:pPr>
        <w:pStyle w:val="ListParagraph"/>
        <w:numPr>
          <w:ilvl w:val="0"/>
          <w:numId w:val="3"/>
        </w:numPr>
        <w:spacing w:after="80"/>
      </w:pPr>
      <w:r>
        <w:t xml:space="preserve">Qué decisiones requieren mayoría simple, calificada o unanimidad.</w:t>
      </w:r>
    </w:p>
    <w:p>
      <w:pPr>
        <w:pStyle w:val="ListParagraph"/>
        <w:numPr>
          <w:ilvl w:val="0"/>
          <w:numId w:val="3"/>
        </w:numPr>
        <w:spacing w:after="80"/>
      </w:pPr>
      <w:r>
        <w:t xml:space="preserve">Qué pasa si un socio quiere salir, es removido, fallece o queda incapacitado.</w:t>
      </w:r>
    </w:p>
    <w:p>
      <w:pPr>
        <w:pStyle w:val="ListParagraph"/>
        <w:numPr>
          <w:ilvl w:val="0"/>
          <w:numId w:val="3"/>
        </w:numPr>
        <w:spacing w:after="80"/>
      </w:pPr>
      <w:r>
        <w:t xml:space="preserve">Cómo se valúan y pagan las acciones de un socio saliente.</w:t>
      </w:r>
    </w:p>
    <w:p>
      <w:pPr>
        <w:pStyle w:val="ListParagraph"/>
        <w:numPr>
          <w:ilvl w:val="0"/>
          <w:numId w:val="3"/>
        </w:numPr>
        <w:spacing w:after="80"/>
      </w:pPr>
      <w:r>
        <w:t xml:space="preserve">Derechos de primer rechazo, arrastre y acompañamiento sobre la venta de acciones.</w:t>
      </w:r>
    </w:p>
    <w:p>
      <w:pPr>
        <w:pStyle w:val="ListParagraph"/>
        <w:numPr>
          <w:ilvl w:val="0"/>
          <w:numId w:val="3"/>
        </w:numPr>
        <w:spacing w:after="80"/>
      </w:pPr>
      <w:r>
        <w:t xml:space="preserve">Cláusulas de confidencialidad, no competencia y propiedad intelectual.</w:t>
      </w:r>
    </w:p>
    <w:p>
      <w:pPr>
        <w:pStyle w:val="ListParagraph"/>
        <w:numPr>
          <w:ilvl w:val="0"/>
          <w:numId w:val="3"/>
        </w:numPr>
        <w:spacing w:after="80"/>
      </w:pPr>
      <w:r>
        <w:t xml:space="preserve">Política de reparto de utilidades y de aportaciones adicionales de capital.</w:t>
      </w:r>
    </w:p>
    <w:p>
      <w:pPr>
        <w:pStyle w:val="ListParagraph"/>
        <w:numPr>
          <w:ilvl w:val="0"/>
          <w:numId w:val="3"/>
        </w:numPr>
        <w:spacing w:after="80"/>
      </w:pPr>
      <w:r>
        <w:t xml:space="preserve">Mecanismo de resolución de conflictos y de empates (deadlock).</w:t>
      </w:r>
    </w:p>
    <w:p>
      <w:pPr>
        <w:pStyle w:val="ListParagraph"/>
        <w:numPr>
          <w:ilvl w:val="0"/>
          <w:numId w:val="3"/>
        </w:numPr>
        <w:spacing w:after="80"/>
      </w:pPr>
      <w:r>
        <w:t xml:space="preserve">Ley aplicable y jurisdicción.</w:t>
      </w:r>
    </w:p>
    <w:p>
      <w:pPr>
        <w:pStyle w:val="ListParagraph"/>
        <w:numPr>
          <w:ilvl w:val="0"/>
          <w:numId w:val="3"/>
        </w:numPr>
        <w:spacing w:after="80"/>
      </w:pPr>
      <w:r>
        <w:t xml:space="preserve">Revisión por un abogado corporativo antes de firmar.</w:t>
      </w:r>
    </w:p>
    <w:p>
      <w:pPr>
        <w:pBdr>
          <w:bottom w:val="single" w:color="2E75B6" w:sz="6" w:space="1"/>
        </w:pBdr>
        <w:spacing w:after="240" w:before="80"/>
      </w:pPr>
      <w:r>
        <w:t xml:space="preserve"/>
      </w:r>
    </w:p>
    <w:p>
      <w:pPr>
        <w:pStyle w:val="Heading2"/>
      </w:pPr>
      <w:r>
        <w:t xml:space="preserve">Disclaimer</w:t>
      </w:r>
    </w:p>
    <w:p>
      <w:pPr>
        <w:spacing w:after="160"/>
      </w:pPr>
      <w:r>
        <w:rPr>
          <w:i/>
          <w:iCs/>
        </w:rPr>
        <w:t xml:space="preserve">Este documento tiene fines exclusivamente informativos y educativos. No constituye asesoría legal, fiscal ni financiera, y no crea una relación abogado-cliente. Las leyes que regulan las sociedades, el capital accionario y los contratos varían significativamente entre países y estados. Antes de firmar cualquier acuerdo entre socios, consulta con un abogado corporativo y un contador calificados en tu jurisdicción para adaptar estas cláusulas a tu caso específico.</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95959"/>
        <w:sz w:val="16"/>
        <w:szCs w:val="16"/>
      </w:rPr>
      <w:t xml:space="preserve">Página </w:t>
    </w:r>
    <w:r>
      <w:rPr>
        <w:color w:val="595959"/>
        <w:sz w:val="16"/>
        <w:szCs w:val="16"/>
      </w:rPr>
      <w:fldChar w:fldCharType="begin"/>
      <w:instrText xml:space="preserve">PAGE</w:instrText>
      <w:fldChar w:fldCharType="separate"/>
      <w:fldChar w:fldCharType="end"/>
    </w:r>
    <w:r>
      <w:rPr>
        <w:color w:val="595959"/>
        <w:sz w:val="16"/>
        <w:szCs w:val="16"/>
      </w:rPr>
      <w:t xml:space="preserve"> de </w:t>
    </w:r>
    <w:r>
      <w:rPr>
        <w:color w:val="59595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CCCCC" w:sz="4" w:space="4"/>
      </w:pBdr>
      <w:tabs>
        <w:tab w:val="right" w:pos="9026"/>
      </w:tabs>
    </w:pPr>
    <w:r>
      <w:rPr>
        <w:color w:val="595959"/>
        <w:sz w:val="16"/>
        <w:szCs w:val="16"/>
      </w:rPr>
      <w:t xml:space="preserve">Guía de Cláusulas Esenciales entre Socios</w:t>
    </w:r>
    <w:r>
      <w:rPr>
        <w:color w:val="595959"/>
        <w:sz w:val="16"/>
        <w:szCs w:val="16"/>
      </w:rPr>
      <w:t xml:space="preserve">	Confidencial — Borrador de trabajo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80"/>
      </w:pPr>
    </w:lvl>
  </w:abstractNum>
  <w:abstractNum w:abstractNumId="3" w15:restartNumberingAfterBreak="0">
    <w:multiLevelType w:val="hybridMultilevel"/>
    <w:lvl w:ilvl="0" w15:tentative="1">
      <w:start w:val="1"/>
      <w:numFmt w:val="decimal"/>
      <w:lvlText w:val="%1."/>
      <w:lvlJc w:val="left"/>
      <w:pPr>
        <w:ind w:left="480" w:hanging="28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62626"/>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2E75B6" w:sz="8" w:space="4"/>
      </w:pBdr>
      <w:spacing w:after="240" w:before="480"/>
      <w:outlineLvl w:val="0"/>
    </w:pPr>
    <w:rPr>
      <w:rFonts w:ascii="Arial" w:cs="Arial" w:eastAsia="Arial" w:hAnsi="Arial"/>
      <w:b/>
      <w:bCs/>
      <w:color w:val="1F3864"/>
      <w:sz w:val="32"/>
      <w:szCs w:val="32"/>
    </w:rPr>
  </w:style>
  <w:style w:type="paragraph" w:styleId="Heading2">
    <w:name w:val="Heading 2"/>
    <w:basedOn w:val="Normal"/>
    <w:next w:val="Normal"/>
    <w:qFormat/>
    <w:pPr>
      <w:spacing w:after="160" w:before="320"/>
      <w:outlineLvl w:val="1"/>
    </w:pPr>
    <w:rPr>
      <w:rFonts w:ascii="Arial" w:cs="Arial" w:eastAsia="Arial" w:hAnsi="Arial"/>
      <w:b/>
      <w:bCs/>
      <w:color w:val="1F3864"/>
      <w:sz w:val="26"/>
      <w:szCs w:val="26"/>
    </w:rPr>
  </w:style>
  <w:style w:type="paragraph" w:styleId="Heading3">
    <w:name w:val="Heading 3"/>
    <w:basedOn w:val="Normal"/>
    <w:next w:val="Normal"/>
    <w:qFormat/>
    <w:pPr>
      <w:spacing w:after="120" w:before="220"/>
      <w:outlineLvl w:val="2"/>
    </w:pPr>
    <w:rPr>
      <w:rFonts w:ascii="Arial" w:cs="Arial" w:eastAsia="Arial" w:hAnsi="Arial"/>
      <w:b/>
      <w:bCs/>
      <w:color w:val="2E75B6"/>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2026-06-25T20:14:16.035Z</dcterms:created>
  <dcterms:modified xsi:type="dcterms:W3CDTF">2026-06-25T20:14:16.037Z</dcterms:modified>
</cp:coreProperties>
</file>

<file path=docProps/custom.xml><?xml version="1.0" encoding="utf-8"?>
<Properties xmlns="http://schemas.openxmlformats.org/officeDocument/2006/custom-properties" xmlns:vt="http://schemas.openxmlformats.org/officeDocument/2006/docPropsVTypes"/>
</file>